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16sdtfl w16du wp14">
  <w:body>
    <w:p w:rsidRPr="00D66659" w:rsidR="009D5568" w:rsidRDefault="00BB4879" w14:paraId="25E11F62" w14:textId="3E6A2CE7">
      <w:pPr>
        <w:pStyle w:val="Heading2"/>
        <w:spacing w:before="36"/>
      </w:pPr>
      <w:bookmarkStart w:name="_Hlk140477081" w:id="0"/>
      <w:r w:rsidRPr="00D66659">
        <w:t>Letter of Appeal template</w:t>
      </w:r>
    </w:p>
    <w:p w:rsidRPr="00D66659" w:rsidR="009D5568" w:rsidRDefault="007A3411" w14:paraId="487DBD74" w14:textId="67E03FF9">
      <w:pPr>
        <w:spacing w:before="181" w:line="259" w:lineRule="auto"/>
        <w:ind w:left="100" w:right="185"/>
        <w:rPr>
          <w:i/>
        </w:rPr>
      </w:pPr>
      <w:bookmarkStart w:name="_Hlk140477227" w:id="1"/>
      <w:r w:rsidRPr="007A3411">
        <w:rPr>
          <w:i/>
        </w:rPr>
        <w:t xml:space="preserve">Note to physician: </w:t>
      </w:r>
      <w:r w:rsidRPr="00D66659" w:rsidR="00BB4879">
        <w:rPr>
          <w:i/>
        </w:rPr>
        <w:t xml:space="preserve">The information below can be used as a starting point for developing a letter of appeal. All </w:t>
      </w:r>
      <w:r w:rsidRPr="00D66659" w:rsidR="00BB4879">
        <w:rPr>
          <w:i/>
          <w:color w:val="FF3399"/>
        </w:rPr>
        <w:t>pink</w:t>
      </w:r>
      <w:r w:rsidRPr="00D66659" w:rsidR="00BB4879">
        <w:rPr>
          <w:i/>
        </w:rPr>
        <w:t>, bracketed content needs to be filled out based on the details of each specific appeal. Be sure to review and understand specific health plan requirements for your patient. It is also important to understand each plan's submission process (online vs fax) for appeals.</w:t>
      </w:r>
    </w:p>
    <w:p w:rsidRPr="00D66659" w:rsidR="009D5568" w:rsidP="00CB3F4E" w:rsidRDefault="00BB4879" w14:paraId="1AD9F697" w14:textId="77777777">
      <w:pPr>
        <w:pStyle w:val="BodyText"/>
        <w:spacing w:before="100"/>
        <w:ind w:left="101"/>
      </w:pPr>
      <w:bookmarkStart w:name="_Hlk140477247" w:id="2"/>
      <w:bookmarkEnd w:id="1"/>
      <w:r w:rsidRPr="00D66659">
        <w:rPr>
          <w:color w:val="FF3399"/>
        </w:rPr>
        <w:t>[Date]</w:t>
      </w:r>
    </w:p>
    <w:p w:rsidRPr="00D66659" w:rsidR="009D5568" w:rsidP="29BD0DE0" w:rsidRDefault="00BB4879" w14:textId="77777777" w14:paraId="10B91EB5">
      <w:pPr>
        <w:pStyle w:val="BodyText"/>
        <w:tabs>
          <w:tab w:val="left" w:pos="7943"/>
        </w:tabs>
        <w:spacing w:before="100"/>
        <w:ind w:left="101"/>
        <w:rPr>
          <w:color w:val="FF3399"/>
        </w:rPr>
      </w:pPr>
      <w:r w:rsidRPr="00D66659" w:rsidR="00BB4879">
        <w:rPr>
          <w:color w:val="FF3399"/>
        </w:rPr>
        <w:t>[Health</w:t>
      </w:r>
      <w:r w:rsidRPr="00D66659" w:rsidR="00BB4879">
        <w:rPr>
          <w:color w:val="FF3399"/>
          <w:spacing w:val="-3"/>
        </w:rPr>
        <w:t xml:space="preserve"> </w:t>
      </w:r>
      <w:r w:rsidRPr="00D66659" w:rsidR="00BB4879">
        <w:rPr>
          <w:color w:val="FF3399"/>
        </w:rPr>
        <w:t>plan</w:t>
      </w:r>
      <w:r w:rsidRPr="00D66659" w:rsidR="00BB4879">
        <w:rPr>
          <w:color w:val="FF3399"/>
          <w:spacing w:val="-2"/>
        </w:rPr>
        <w:t xml:space="preserve"> </w:t>
      </w:r>
      <w:r w:rsidRPr="00D66659" w:rsidR="00BB4879">
        <w:rPr>
          <w:color w:val="FF3399"/>
        </w:rPr>
        <w:t>name]</w:t>
      </w:r>
      <w:r w:rsidRPr="00D66659">
        <w:rPr>
          <w:color w:val="FF3399"/>
        </w:rPr>
        <w:tab/>
      </w:r>
    </w:p>
    <w:p w:rsidRPr="00D66659" w:rsidR="009D5568" w:rsidP="00CB3F4E" w:rsidRDefault="00BB4879" w14:paraId="36D5C477" w14:textId="77777777">
      <w:pPr>
        <w:pStyle w:val="BodyText"/>
        <w:tabs>
          <w:tab w:val="left" w:pos="7943"/>
        </w:tabs>
        <w:spacing w:before="100"/>
        <w:ind w:left="101"/>
      </w:pPr>
      <w:r w:rsidRPr="00D66659" w:rsidR="00BB4879">
        <w:rPr>
          <w:color w:val="FF3399"/>
        </w:rPr>
        <w:t>[Patient’s</w:t>
      </w:r>
      <w:r w:rsidRPr="00D66659" w:rsidR="00BB4879">
        <w:rPr>
          <w:color w:val="FF3399"/>
          <w:spacing w:val="-7"/>
        </w:rPr>
        <w:t xml:space="preserve"> </w:t>
      </w:r>
      <w:r w:rsidRPr="00D66659" w:rsidR="00BB4879">
        <w:rPr>
          <w:color w:val="FF3399"/>
        </w:rPr>
        <w:t>Name]</w:t>
      </w:r>
    </w:p>
    <w:p w:rsidRPr="00D66659" w:rsidR="009D5568" w:rsidP="29BD0DE0" w:rsidRDefault="00BB4879" w14:textId="7EF0DBF2" w14:paraId="75CD98A1">
      <w:pPr>
        <w:pStyle w:val="BodyText"/>
        <w:tabs>
          <w:tab w:val="left" w:pos="6297"/>
          <w:tab w:val="left" w:pos="8158"/>
        </w:tabs>
        <w:spacing w:before="100" w:line="384" w:lineRule="auto"/>
        <w:ind w:left="101" w:right="136"/>
        <w:rPr>
          <w:color w:val="FF3399"/>
        </w:rPr>
      </w:pPr>
      <w:r w:rsidRPr="00D66659" w:rsidR="00BB4879">
        <w:rPr/>
        <w:t>ATTN</w:t>
      </w:r>
      <w:r w:rsidRPr="00D66659" w:rsidR="00BB4879">
        <w:rPr>
          <w:color w:val="FF3399"/>
        </w:rPr>
        <w:t>:</w:t>
      </w:r>
      <w:r w:rsidRPr="00D66659" w:rsidR="00BB4879">
        <w:rPr>
          <w:color w:val="FF3399"/>
          <w:spacing w:val="-3"/>
        </w:rPr>
        <w:t xml:space="preserve"> </w:t>
      </w:r>
      <w:r w:rsidRPr="00D66659" w:rsidR="00BB4879">
        <w:rPr>
          <w:color w:val="FF3399"/>
        </w:rPr>
        <w:t>[Department]</w:t>
      </w:r>
      <w:r w:rsidRPr="00D66659">
        <w:rPr>
          <w:color w:val="FF3399"/>
        </w:rPr>
        <w:tab/>
      </w:r>
    </w:p>
    <w:p w:rsidRPr="00D66659" w:rsidR="009D5568" w:rsidP="00CB3F4E" w:rsidRDefault="00BB4879" w14:paraId="41DED941" w14:textId="7EF0DBF2">
      <w:pPr>
        <w:pStyle w:val="BodyText"/>
        <w:tabs>
          <w:tab w:val="left" w:pos="6297"/>
          <w:tab w:val="left" w:pos="8158"/>
        </w:tabs>
        <w:spacing w:before="100" w:line="384" w:lineRule="auto"/>
        <w:ind w:left="101" w:right="136"/>
      </w:pPr>
      <w:r w:rsidRPr="00D66659" w:rsidR="00BB4879">
        <w:rPr>
          <w:color w:val="FF3399"/>
        </w:rPr>
        <w:t>[Patient’s plan-specific member ID] [Medical/Pharmacy Director Name</w:t>
      </w:r>
      <w:r w:rsidRPr="00D66659" w:rsidR="00BB4879">
        <w:rPr>
          <w:color w:val="FF3399"/>
          <w:spacing w:val="-10"/>
        </w:rPr>
        <w:t xml:space="preserve"> </w:t>
      </w:r>
      <w:r w:rsidRPr="00D66659" w:rsidR="00BB4879">
        <w:rPr>
          <w:color w:val="FF3399"/>
        </w:rPr>
        <w:t>(if</w:t>
      </w:r>
      <w:r w:rsidRPr="00D66659" w:rsidR="00BB4879">
        <w:rPr>
          <w:color w:val="FF3399"/>
          <w:spacing w:val="-5"/>
        </w:rPr>
        <w:t xml:space="preserve"> </w:t>
      </w:r>
      <w:r w:rsidRPr="00D66659" w:rsidR="00BB4879">
        <w:rPr>
          <w:color w:val="FF3399"/>
        </w:rPr>
        <w:t>available)]</w:t>
      </w:r>
      <w:r w:rsidRPr="00D66659">
        <w:rPr>
          <w:color w:val="FF3399"/>
        </w:rPr>
        <w:tab/>
      </w:r>
      <w:r w:rsidRPr="00D66659" w:rsidR="00BB4879">
        <w:rPr>
          <w:color w:val="FF3399"/>
        </w:rPr>
        <w:t>[</w:t>
      </w:r>
      <w:r w:rsidRPr="00D66659" w:rsidR="00C42CE3">
        <w:rPr>
          <w:color w:val="FF3399"/>
        </w:rPr>
        <w:t>Patient’s date</w:t>
      </w:r>
      <w:r w:rsidRPr="00D66659" w:rsidR="00BB4879">
        <w:rPr>
          <w:color w:val="FF3399"/>
        </w:rPr>
        <w:t xml:space="preserve"> of</w:t>
      </w:r>
      <w:r w:rsidRPr="00D66659" w:rsidR="00BB4879">
        <w:rPr>
          <w:color w:val="FF3399"/>
          <w:spacing w:val="-8"/>
        </w:rPr>
        <w:t xml:space="preserve"> </w:t>
      </w:r>
      <w:r w:rsidRPr="00D66659" w:rsidR="00BB4879">
        <w:rPr>
          <w:color w:val="FF3399"/>
        </w:rPr>
        <w:t>birth]</w:t>
      </w:r>
    </w:p>
    <w:p w:rsidRPr="00D66659" w:rsidR="009D5568" w:rsidP="29BD0DE0" w:rsidRDefault="00BB4879" w14:textId="77777777" w14:paraId="53F52253">
      <w:pPr>
        <w:pStyle w:val="BodyText"/>
        <w:tabs>
          <w:tab w:val="left" w:pos="8153"/>
        </w:tabs>
        <w:spacing w:before="100" w:line="264" w:lineRule="exact"/>
        <w:ind w:left="101"/>
        <w:rPr>
          <w:color w:val="FF3399"/>
        </w:rPr>
      </w:pPr>
      <w:r w:rsidRPr="00D66659" w:rsidR="00BB4879">
        <w:rPr>
          <w:color w:val="FF3399"/>
        </w:rPr>
        <w:t>[Health</w:t>
      </w:r>
      <w:r w:rsidRPr="00D66659" w:rsidR="00BB4879">
        <w:rPr>
          <w:color w:val="FF3399"/>
          <w:spacing w:val="-4"/>
        </w:rPr>
        <w:t xml:space="preserve"> </w:t>
      </w:r>
      <w:r w:rsidRPr="00D66659" w:rsidR="00BB4879">
        <w:rPr>
          <w:color w:val="FF3399"/>
        </w:rPr>
        <w:t>plan</w:t>
      </w:r>
      <w:r w:rsidRPr="00D66659" w:rsidR="00BB4879">
        <w:rPr>
          <w:color w:val="FF3399"/>
          <w:spacing w:val="-3"/>
        </w:rPr>
        <w:t xml:space="preserve"> </w:t>
      </w:r>
      <w:r w:rsidRPr="00D66659" w:rsidR="00BB4879">
        <w:rPr>
          <w:color w:val="FF3399"/>
        </w:rPr>
        <w:t>address]</w:t>
      </w:r>
      <w:r w:rsidRPr="00D66659">
        <w:rPr>
          <w:color w:val="FF3399"/>
        </w:rPr>
        <w:tab/>
      </w:r>
    </w:p>
    <w:p w:rsidRPr="00D66659" w:rsidR="009D5568" w:rsidP="00CB3F4E" w:rsidRDefault="00BB4879" w14:paraId="1D416C28" w14:textId="77777777">
      <w:pPr>
        <w:pStyle w:val="BodyText"/>
        <w:tabs>
          <w:tab w:val="left" w:pos="8153"/>
        </w:tabs>
        <w:spacing w:before="100" w:line="264" w:lineRule="exact"/>
        <w:ind w:left="101"/>
      </w:pPr>
      <w:r w:rsidRPr="00D66659" w:rsidR="00BB4879">
        <w:rPr>
          <w:color w:val="FF3399"/>
        </w:rPr>
        <w:t>[Case</w:t>
      </w:r>
      <w:r w:rsidRPr="00D66659" w:rsidR="00BB4879">
        <w:rPr>
          <w:color w:val="FF3399"/>
          <w:spacing w:val="-6"/>
        </w:rPr>
        <w:t xml:space="preserve"> </w:t>
      </w:r>
      <w:r w:rsidRPr="00D66659" w:rsidR="00BB4879">
        <w:rPr>
          <w:color w:val="FF3399"/>
        </w:rPr>
        <w:t>number]</w:t>
      </w:r>
    </w:p>
    <w:p w:rsidRPr="00D66659" w:rsidR="009D5568" w:rsidP="29BD0DE0" w:rsidRDefault="00BB4879" w14:textId="06529A1B" w14:paraId="134DB1F7">
      <w:pPr>
        <w:pStyle w:val="BodyText"/>
        <w:tabs>
          <w:tab w:val="left" w:pos="7883"/>
        </w:tabs>
        <w:spacing w:before="100"/>
        <w:ind w:left="101"/>
        <w:rPr>
          <w:color w:val="FF3399"/>
        </w:rPr>
      </w:pPr>
      <w:r w:rsidRPr="00D66659" w:rsidR="00BB4879">
        <w:rPr>
          <w:color w:val="FF3399"/>
        </w:rPr>
        <w:t>[City, State, ZIP</w:t>
      </w:r>
      <w:r w:rsidRPr="00D66659" w:rsidR="00BB4879">
        <w:rPr>
          <w:color w:val="FF3399"/>
          <w:spacing w:val="-4"/>
        </w:rPr>
        <w:t xml:space="preserve"> </w:t>
      </w:r>
      <w:r w:rsidRPr="00D66659" w:rsidR="00637F69">
        <w:rPr>
          <w:color w:val="FF3399"/>
        </w:rPr>
        <w:t>C</w:t>
      </w:r>
      <w:r w:rsidRPr="00D66659" w:rsidR="00BB4879">
        <w:rPr>
          <w:color w:val="FF3399"/>
        </w:rPr>
        <w:t>ode]</w:t>
      </w:r>
      <w:r w:rsidRPr="00D66659">
        <w:rPr>
          <w:color w:val="FF3399"/>
        </w:rPr>
        <w:tab/>
      </w:r>
    </w:p>
    <w:p w:rsidRPr="00D66659" w:rsidR="009D5568" w:rsidP="00CB3F4E" w:rsidRDefault="00BB4879" w14:paraId="71DEF054" w14:textId="06529A1B">
      <w:pPr>
        <w:pStyle w:val="BodyText"/>
        <w:tabs>
          <w:tab w:val="left" w:pos="7883"/>
        </w:tabs>
        <w:spacing w:before="100"/>
        <w:ind w:left="101"/>
      </w:pPr>
      <w:r w:rsidRPr="00D66659" w:rsidR="00BB4879">
        <w:rPr>
          <w:color w:val="FF3399"/>
        </w:rPr>
        <w:t>[Dates of</w:t>
      </w:r>
      <w:r w:rsidRPr="00D66659" w:rsidR="00BB4879">
        <w:rPr>
          <w:color w:val="FF3399"/>
          <w:spacing w:val="-11"/>
        </w:rPr>
        <w:t xml:space="preserve"> </w:t>
      </w:r>
      <w:r w:rsidRPr="00D66659" w:rsidR="00BB4879">
        <w:rPr>
          <w:color w:val="FF3399"/>
        </w:rPr>
        <w:t>service]</w:t>
      </w:r>
    </w:p>
    <w:p w:rsidRPr="00D66659" w:rsidR="009D5568" w:rsidP="00CB3F4E" w:rsidRDefault="00BB4879" w14:paraId="10B6B064" w14:textId="77777777">
      <w:pPr>
        <w:pStyle w:val="BodyText"/>
        <w:spacing w:before="100"/>
        <w:ind w:left="101"/>
      </w:pPr>
      <w:r w:rsidRPr="00D66659">
        <w:t xml:space="preserve">Dear </w:t>
      </w:r>
      <w:r w:rsidRPr="00D66659">
        <w:rPr>
          <w:color w:val="FF3399"/>
        </w:rPr>
        <w:t>[Medical/Pharmacy Director Name]</w:t>
      </w:r>
      <w:r w:rsidRPr="00D66659">
        <w:t>,</w:t>
      </w:r>
    </w:p>
    <w:p w:rsidRPr="00D66659" w:rsidR="009D5568" w:rsidRDefault="00BB4879" w14:paraId="4B99B921" w14:textId="1BA33AAC">
      <w:pPr>
        <w:pStyle w:val="BodyText"/>
        <w:spacing w:before="182" w:line="259" w:lineRule="auto"/>
        <w:ind w:right="392"/>
      </w:pPr>
      <w:r w:rsidRPr="00D66659">
        <w:t xml:space="preserve">We have read and acknowledge your policy for the responsible management of drugs in the </w:t>
      </w:r>
      <w:r w:rsidRPr="00D66659" w:rsidR="00490290">
        <w:rPr>
          <w:color w:val="FF3399"/>
        </w:rPr>
        <w:t>[</w:t>
      </w:r>
      <w:r w:rsidRPr="00490290" w:rsidR="00E94E90">
        <w:rPr>
          <w:color w:val="FF3399"/>
        </w:rPr>
        <w:t>urology</w:t>
      </w:r>
      <w:r w:rsidRPr="00490290" w:rsidR="00490290">
        <w:rPr>
          <w:color w:val="FF3399"/>
        </w:rPr>
        <w:t>] [</w:t>
      </w:r>
      <w:r w:rsidRPr="00490290" w:rsidR="00E94E90">
        <w:rPr>
          <w:color w:val="FF3399"/>
        </w:rPr>
        <w:t>medical oncology</w:t>
      </w:r>
      <w:r w:rsidRPr="00490290" w:rsidR="00490290">
        <w:rPr>
          <w:color w:val="FF3399"/>
        </w:rPr>
        <w:t>] [</w:t>
      </w:r>
      <w:r w:rsidRPr="00490290" w:rsidR="00E94E90">
        <w:rPr>
          <w:color w:val="FF3399"/>
        </w:rPr>
        <w:t>radiation oncology</w:t>
      </w:r>
      <w:r w:rsidRPr="00490290" w:rsidR="00490290">
        <w:rPr>
          <w:color w:val="FF3399"/>
        </w:rPr>
        <w:t>] [</w:t>
      </w:r>
      <w:r w:rsidRPr="00490290" w:rsidR="00E94E90">
        <w:rPr>
          <w:color w:val="FF3399"/>
        </w:rPr>
        <w:t>nuclear medicine</w:t>
      </w:r>
      <w:r w:rsidR="00B838EE">
        <w:rPr>
          <w:color w:val="FF3399"/>
        </w:rPr>
        <w:t>] [category/categories]</w:t>
      </w:r>
      <w:r w:rsidRPr="00D66659">
        <w:t xml:space="preserve">. We are writing to request that you reconsider your denial of coverage for </w:t>
      </w:r>
      <w:r w:rsidRPr="00D66659" w:rsidR="00E77ECE">
        <w:t>PLUVICTO</w:t>
      </w:r>
      <w:r w:rsidRPr="00D66659">
        <w:t>® (</w:t>
      </w:r>
      <w:r w:rsidRPr="00D66659" w:rsidR="00E77ECE">
        <w:t>lutetium Lu 177 vipivotide tetraxetan</w:t>
      </w:r>
      <w:r w:rsidRPr="00D66659">
        <w:t xml:space="preserve">). This letter is being submitted on behalf of </w:t>
      </w:r>
      <w:r w:rsidRPr="00D66659">
        <w:rPr>
          <w:color w:val="FF3399"/>
        </w:rPr>
        <w:t xml:space="preserve">[Patient’s name] </w:t>
      </w:r>
      <w:r w:rsidRPr="00D66659">
        <w:t xml:space="preserve">for </w:t>
      </w:r>
      <w:r w:rsidRPr="00D66659">
        <w:rPr>
          <w:color w:val="FF3399"/>
        </w:rPr>
        <w:t>[Product indication]</w:t>
      </w:r>
      <w:r w:rsidRPr="00D66659">
        <w:t>, associated with</w:t>
      </w:r>
      <w:r w:rsidRPr="00D66659" w:rsidR="00B54D71">
        <w:t xml:space="preserve"> </w:t>
      </w:r>
      <w:r w:rsidRPr="00D66659">
        <w:t xml:space="preserve">diagnosis </w:t>
      </w:r>
      <w:r w:rsidRPr="00D66659" w:rsidR="00B54D71">
        <w:t xml:space="preserve">code(s) </w:t>
      </w:r>
      <w:r w:rsidRPr="00D66659">
        <w:rPr>
          <w:color w:val="FF3399"/>
        </w:rPr>
        <w:t>[</w:t>
      </w:r>
      <w:r w:rsidRPr="00D66659" w:rsidR="00B54D71">
        <w:rPr>
          <w:color w:val="FF3399"/>
        </w:rPr>
        <w:t xml:space="preserve">insert </w:t>
      </w:r>
      <w:r w:rsidRPr="00D66659">
        <w:rPr>
          <w:color w:val="FF3399"/>
        </w:rPr>
        <w:t>ICD-10 cod</w:t>
      </w:r>
      <w:r w:rsidRPr="00D66659" w:rsidR="00B54D71">
        <w:rPr>
          <w:color w:val="FF3399"/>
        </w:rPr>
        <w:t>e(s)</w:t>
      </w:r>
      <w:r w:rsidRPr="00D66659">
        <w:rPr>
          <w:color w:val="FF3399"/>
        </w:rPr>
        <w:t>]</w:t>
      </w:r>
      <w:r w:rsidRPr="00D66659">
        <w:t>.</w:t>
      </w:r>
    </w:p>
    <w:p w:rsidRPr="00D66659" w:rsidR="009D5568" w:rsidRDefault="00BB4879" w14:paraId="636007CB" w14:textId="1A707379">
      <w:pPr>
        <w:pStyle w:val="BodyText"/>
        <w:spacing w:before="160" w:line="259" w:lineRule="auto"/>
        <w:ind w:right="327"/>
        <w:jc w:val="both"/>
      </w:pPr>
      <w:r w:rsidRPr="00D66659">
        <w:t xml:space="preserve">The reason given for the denial was </w:t>
      </w:r>
      <w:r w:rsidRPr="00D66659">
        <w:rPr>
          <w:color w:val="FF3399"/>
        </w:rPr>
        <w:t>[state reason from health plan’s letter]</w:t>
      </w:r>
      <w:r w:rsidRPr="00D66659">
        <w:t xml:space="preserve">. A copy of the most recent denial letter is included along with medical notes in response to the denial. After reviewing the denial letter, we continue to feel that </w:t>
      </w:r>
      <w:r w:rsidRPr="00D66659" w:rsidR="00E77ECE">
        <w:t xml:space="preserve">PLUVICTO 7.4 </w:t>
      </w:r>
      <w:proofErr w:type="spellStart"/>
      <w:r w:rsidRPr="00D66659" w:rsidR="00E77ECE">
        <w:t>GBq</w:t>
      </w:r>
      <w:proofErr w:type="spellEnd"/>
      <w:r w:rsidRPr="00D66659" w:rsidR="00E77ECE">
        <w:t xml:space="preserve"> (200 </w:t>
      </w:r>
      <w:proofErr w:type="spellStart"/>
      <w:r w:rsidRPr="00D66659" w:rsidR="00E77ECE">
        <w:t>mCi</w:t>
      </w:r>
      <w:proofErr w:type="spellEnd"/>
      <w:r w:rsidRPr="00D66659" w:rsidR="00E77ECE">
        <w:t>)</w:t>
      </w:r>
      <w:r w:rsidR="003C600C">
        <w:t xml:space="preserve"> </w:t>
      </w:r>
      <w:r w:rsidRPr="003C600C" w:rsidR="003C600C">
        <w:rPr>
          <w:color w:val="FF3399"/>
        </w:rPr>
        <w:t xml:space="preserve">[,reduced by 20% to 5.9 </w:t>
      </w:r>
      <w:proofErr w:type="spellStart"/>
      <w:r w:rsidRPr="003C600C" w:rsidR="003C600C">
        <w:rPr>
          <w:color w:val="FF3399"/>
        </w:rPr>
        <w:t>GBq</w:t>
      </w:r>
      <w:proofErr w:type="spellEnd"/>
      <w:r w:rsidRPr="003C600C" w:rsidR="003C600C">
        <w:rPr>
          <w:color w:val="FF3399"/>
        </w:rPr>
        <w:t xml:space="preserve"> (160 </w:t>
      </w:r>
      <w:proofErr w:type="spellStart"/>
      <w:r w:rsidRPr="003C600C" w:rsidR="003C600C">
        <w:rPr>
          <w:color w:val="FF3399"/>
        </w:rPr>
        <w:t>mCi</w:t>
      </w:r>
      <w:proofErr w:type="spellEnd"/>
      <w:r w:rsidRPr="003C600C" w:rsidR="003C600C">
        <w:rPr>
          <w:color w:val="FF3399"/>
        </w:rPr>
        <w:t>),]</w:t>
      </w:r>
      <w:r w:rsidRPr="003C600C" w:rsidR="00E77ECE">
        <w:rPr>
          <w:color w:val="FF3399"/>
        </w:rPr>
        <w:t xml:space="preserve"> </w:t>
      </w:r>
      <w:r w:rsidRPr="00D66659" w:rsidR="00E94E90">
        <w:t xml:space="preserve">administered </w:t>
      </w:r>
      <w:r w:rsidRPr="00D66659" w:rsidR="00E77ECE">
        <w:t xml:space="preserve">intravenously every 6 weeks for up to 6 doses </w:t>
      </w:r>
      <w:r w:rsidRPr="00D66659">
        <w:t xml:space="preserve">is the appropriate therapy for </w:t>
      </w:r>
      <w:r w:rsidRPr="00D66659">
        <w:rPr>
          <w:color w:val="FF3399"/>
        </w:rPr>
        <w:t>[Patient’s name]</w:t>
      </w:r>
      <w:r w:rsidRPr="00D66659">
        <w:t>. The relevant clinical history is summarized below.</w:t>
      </w:r>
    </w:p>
    <w:p w:rsidRPr="00D66659" w:rsidR="009D5568" w:rsidRDefault="00BB4879" w14:paraId="7617EAA8" w14:textId="6F064C48">
      <w:pPr>
        <w:pStyle w:val="BodyText"/>
        <w:spacing w:before="160" w:line="259" w:lineRule="auto"/>
        <w:ind w:right="229"/>
      </w:pPr>
      <w:r w:rsidRPr="00D66659">
        <w:rPr>
          <w:color w:val="FF3399"/>
        </w:rPr>
        <w:t>[This plan currently lists [</w:t>
      </w:r>
      <w:r w:rsidRPr="00D66659" w:rsidR="00B64B6D">
        <w:rPr>
          <w:color w:val="FF3399"/>
        </w:rPr>
        <w:t>insert plan requirements</w:t>
      </w:r>
      <w:r w:rsidRPr="00D66659">
        <w:rPr>
          <w:color w:val="FF3399"/>
        </w:rPr>
        <w:t xml:space="preserve">] prior to treatment with </w:t>
      </w:r>
      <w:r w:rsidRPr="00D66659" w:rsidR="00E77ECE">
        <w:rPr>
          <w:color w:val="FF3399"/>
        </w:rPr>
        <w:t>PLUVICTO</w:t>
      </w:r>
      <w:r w:rsidRPr="00D66659">
        <w:rPr>
          <w:color w:val="FF3399"/>
        </w:rPr>
        <w:t>.</w:t>
      </w:r>
      <w:r w:rsidRPr="00D66659" w:rsidR="00B64B6D">
        <w:rPr>
          <w:color w:val="FF3399"/>
        </w:rPr>
        <w:t xml:space="preserve"> </w:t>
      </w:r>
      <w:r w:rsidRPr="00D66659">
        <w:rPr>
          <w:color w:val="FF3399"/>
        </w:rPr>
        <w:t xml:space="preserve">We are requesting that </w:t>
      </w:r>
      <w:r w:rsidRPr="00D66659" w:rsidR="00B64B6D">
        <w:rPr>
          <w:color w:val="FF3399"/>
        </w:rPr>
        <w:t>these</w:t>
      </w:r>
      <w:r w:rsidRPr="00D66659">
        <w:rPr>
          <w:color w:val="FF3399"/>
        </w:rPr>
        <w:t xml:space="preserve"> requirement</w:t>
      </w:r>
      <w:r w:rsidRPr="00D66659" w:rsidR="00B64B6D">
        <w:rPr>
          <w:color w:val="FF3399"/>
        </w:rPr>
        <w:t>s</w:t>
      </w:r>
      <w:r w:rsidRPr="00D66659">
        <w:rPr>
          <w:color w:val="FF3399"/>
        </w:rPr>
        <w:t xml:space="preserve"> be bypassed.]</w:t>
      </w:r>
    </w:p>
    <w:bookmarkEnd w:id="2"/>
    <w:p w:rsidRPr="005E45F8" w:rsidR="009D5568" w:rsidRDefault="00256A20" w14:paraId="0E922F29" w14:textId="3E5110E8">
      <w:pPr>
        <w:pStyle w:val="BodyText"/>
        <w:spacing w:before="161" w:line="259" w:lineRule="auto"/>
        <w:ind w:right="357"/>
        <w:jc w:val="both"/>
        <w:rPr>
          <w:color w:val="FF3399"/>
        </w:rPr>
      </w:pPr>
      <w:r>
        <w:rPr>
          <w:color w:val="FF3399"/>
        </w:rPr>
        <w:t>[</w:t>
      </w:r>
      <w:r w:rsidRPr="005E45F8" w:rsidR="00BB4879">
        <w:rPr>
          <w:color w:val="FF3399"/>
        </w:rPr>
        <w:t>Document</w:t>
      </w:r>
      <w:r w:rsidRPr="005E45F8" w:rsidR="00BB4879">
        <w:rPr>
          <w:color w:val="FF3399"/>
          <w:spacing w:val="-3"/>
        </w:rPr>
        <w:t xml:space="preserve"> </w:t>
      </w:r>
      <w:r w:rsidRPr="005E45F8" w:rsidR="00BB4879">
        <w:rPr>
          <w:color w:val="FF3399"/>
        </w:rPr>
        <w:t>the</w:t>
      </w:r>
      <w:r w:rsidRPr="005E45F8" w:rsidR="00BB4879">
        <w:rPr>
          <w:color w:val="FF3399"/>
          <w:spacing w:val="-4"/>
        </w:rPr>
        <w:t xml:space="preserve"> </w:t>
      </w:r>
      <w:r w:rsidRPr="005E45F8" w:rsidR="00BB4879">
        <w:rPr>
          <w:color w:val="FF3399"/>
        </w:rPr>
        <w:t>patient’s</w:t>
      </w:r>
      <w:r w:rsidRPr="005E45F8" w:rsidR="00BB4879">
        <w:rPr>
          <w:color w:val="FF3399"/>
          <w:spacing w:val="-4"/>
        </w:rPr>
        <w:t xml:space="preserve"> </w:t>
      </w:r>
      <w:r w:rsidRPr="005E45F8" w:rsidR="00BB4879">
        <w:rPr>
          <w:color w:val="FF3399"/>
        </w:rPr>
        <w:t>history,</w:t>
      </w:r>
      <w:r w:rsidRPr="005E45F8" w:rsidR="00BB4879">
        <w:rPr>
          <w:color w:val="FF3399"/>
          <w:spacing w:val="-4"/>
        </w:rPr>
        <w:t xml:space="preserve"> </w:t>
      </w:r>
      <w:r w:rsidRPr="005E45F8" w:rsidR="00BB4879">
        <w:rPr>
          <w:color w:val="FF3399"/>
        </w:rPr>
        <w:t>diagnosis,</w:t>
      </w:r>
      <w:r w:rsidRPr="005E45F8" w:rsidR="00BB4879">
        <w:rPr>
          <w:color w:val="FF3399"/>
          <w:spacing w:val="-3"/>
        </w:rPr>
        <w:t xml:space="preserve"> </w:t>
      </w:r>
      <w:r w:rsidRPr="005E45F8" w:rsidR="00BB4879">
        <w:rPr>
          <w:color w:val="FF3399"/>
        </w:rPr>
        <w:t>current</w:t>
      </w:r>
      <w:r w:rsidRPr="005E45F8" w:rsidR="00BB4879">
        <w:rPr>
          <w:color w:val="FF3399"/>
          <w:spacing w:val="-2"/>
        </w:rPr>
        <w:t xml:space="preserve"> </w:t>
      </w:r>
      <w:r w:rsidRPr="005E45F8" w:rsidR="00BB4879">
        <w:rPr>
          <w:color w:val="FF3399"/>
        </w:rPr>
        <w:t>condition,</w:t>
      </w:r>
      <w:r w:rsidRPr="005E45F8" w:rsidR="00BB4879">
        <w:rPr>
          <w:color w:val="FF3399"/>
          <w:spacing w:val="-4"/>
        </w:rPr>
        <w:t xml:space="preserve"> </w:t>
      </w:r>
      <w:r w:rsidRPr="005E45F8" w:rsidR="00BB4879">
        <w:rPr>
          <w:color w:val="FF3399"/>
        </w:rPr>
        <w:t>and</w:t>
      </w:r>
      <w:r w:rsidRPr="005E45F8" w:rsidR="00BB4879">
        <w:rPr>
          <w:color w:val="FF3399"/>
          <w:spacing w:val="-5"/>
        </w:rPr>
        <w:t xml:space="preserve"> </w:t>
      </w:r>
      <w:r w:rsidRPr="005E45F8" w:rsidR="00BB4879">
        <w:rPr>
          <w:color w:val="FF3399"/>
        </w:rPr>
        <w:t>symptoms;</w:t>
      </w:r>
      <w:r w:rsidRPr="005E45F8" w:rsidR="00BB4879">
        <w:rPr>
          <w:color w:val="FF3399"/>
          <w:spacing w:val="-3"/>
        </w:rPr>
        <w:t xml:space="preserve"> </w:t>
      </w:r>
      <w:r w:rsidRPr="005E45F8" w:rsidR="00BB4879">
        <w:rPr>
          <w:color w:val="FF3399"/>
        </w:rPr>
        <w:t>for</w:t>
      </w:r>
      <w:r w:rsidRPr="005E45F8" w:rsidR="00BB4879">
        <w:rPr>
          <w:color w:val="FF3399"/>
          <w:spacing w:val="-5"/>
        </w:rPr>
        <w:t xml:space="preserve"> </w:t>
      </w:r>
      <w:r w:rsidRPr="005E45F8" w:rsidR="00BB4879">
        <w:rPr>
          <w:color w:val="FF3399"/>
        </w:rPr>
        <w:t>example,</w:t>
      </w:r>
      <w:r w:rsidRPr="005E45F8" w:rsidR="00BB4879">
        <w:rPr>
          <w:color w:val="FF3399"/>
          <w:spacing w:val="-3"/>
        </w:rPr>
        <w:t xml:space="preserve"> </w:t>
      </w:r>
      <w:r w:rsidRPr="005E45F8" w:rsidR="00BB4879">
        <w:rPr>
          <w:color w:val="FF3399"/>
        </w:rPr>
        <w:t>confirm</w:t>
      </w:r>
      <w:r w:rsidRPr="005E45F8" w:rsidR="00BB4879">
        <w:rPr>
          <w:color w:val="FF3399"/>
          <w:spacing w:val="-5"/>
        </w:rPr>
        <w:t xml:space="preserve"> </w:t>
      </w:r>
      <w:r w:rsidRPr="005E45F8" w:rsidR="00BB4879">
        <w:rPr>
          <w:color w:val="FF3399"/>
        </w:rPr>
        <w:t>the patient’s:</w:t>
      </w:r>
    </w:p>
    <w:p w:rsidRPr="005E45F8" w:rsidR="00D17E28" w:rsidP="008D6C72" w:rsidRDefault="007A3411" w14:paraId="7614F5ED" w14:textId="552B9F4B">
      <w:pPr>
        <w:pStyle w:val="BodyText"/>
        <w:numPr>
          <w:ilvl w:val="0"/>
          <w:numId w:val="3"/>
        </w:numPr>
        <w:spacing w:before="161" w:line="259" w:lineRule="auto"/>
        <w:ind w:right="357"/>
        <w:rPr>
          <w:color w:val="FF3399"/>
        </w:rPr>
      </w:pPr>
      <w:r w:rsidRPr="005E45F8">
        <w:rPr>
          <w:color w:val="FF3399"/>
        </w:rPr>
        <w:t>Documentation of diagnosis</w:t>
      </w:r>
      <w:r w:rsidRPr="005E45F8" w:rsidR="00D17E28">
        <w:rPr>
          <w:color w:val="FF3399"/>
        </w:rPr>
        <w:t xml:space="preserve"> of</w:t>
      </w:r>
      <w:r w:rsidRPr="005E45F8" w:rsidR="00C43E08">
        <w:rPr>
          <w:color w:val="FF3399"/>
        </w:rPr>
        <w:t xml:space="preserve"> PSMA-positive disease </w:t>
      </w:r>
      <w:r w:rsidRPr="005E45F8" w:rsidR="00B42521">
        <w:rPr>
          <w:color w:val="FF3399"/>
        </w:rPr>
        <w:t xml:space="preserve">demonstrated by a positive PSMA-11 based PET scan </w:t>
      </w:r>
      <w:r w:rsidRPr="005E45F8" w:rsidR="00C43E08">
        <w:rPr>
          <w:color w:val="FF3399"/>
        </w:rPr>
        <w:t xml:space="preserve">or </w:t>
      </w:r>
      <w:r w:rsidR="00256A20">
        <w:rPr>
          <w:color w:val="FF3399"/>
        </w:rPr>
        <w:t xml:space="preserve">metastatic </w:t>
      </w:r>
      <w:r w:rsidR="00D17293">
        <w:rPr>
          <w:color w:val="FF3399"/>
        </w:rPr>
        <w:t>castration</w:t>
      </w:r>
      <w:r w:rsidRPr="005E45F8" w:rsidR="00D17E28">
        <w:rPr>
          <w:color w:val="FF3399"/>
        </w:rPr>
        <w:t>-resistant</w:t>
      </w:r>
      <w:r w:rsidR="00D17293">
        <w:rPr>
          <w:color w:val="FF3399"/>
        </w:rPr>
        <w:t xml:space="preserve"> </w:t>
      </w:r>
      <w:r w:rsidRPr="005E45F8" w:rsidR="00D17E28">
        <w:rPr>
          <w:color w:val="FF3399"/>
        </w:rPr>
        <w:t>prostate cancer (including relevant diagnosis code(s))</w:t>
      </w:r>
    </w:p>
    <w:p w:rsidRPr="005E45F8" w:rsidR="002047A0" w:rsidP="008D6C72" w:rsidRDefault="002047A0" w14:paraId="76F42800" w14:textId="1589BBA5">
      <w:pPr>
        <w:pStyle w:val="BodyText"/>
        <w:numPr>
          <w:ilvl w:val="0"/>
          <w:numId w:val="3"/>
        </w:numPr>
        <w:spacing w:line="259" w:lineRule="auto"/>
        <w:ind w:right="357"/>
        <w:rPr>
          <w:color w:val="FF3399"/>
        </w:rPr>
      </w:pPr>
      <w:r w:rsidRPr="005E45F8">
        <w:rPr>
          <w:color w:val="FF3399"/>
        </w:rPr>
        <w:t>Documentation that patient has tried at least one androgen receptor pathway inhibitor</w:t>
      </w:r>
      <w:r w:rsidRPr="005E45F8" w:rsidR="008D6C72">
        <w:rPr>
          <w:color w:val="FF3399"/>
        </w:rPr>
        <w:t>. Include treatment names, durations of treatment(s)</w:t>
      </w:r>
      <w:r w:rsidRPr="005E45F8" w:rsidR="007A3411">
        <w:rPr>
          <w:color w:val="FF3399"/>
        </w:rPr>
        <w:t xml:space="preserve">. Confirm that the patient has not achieved adequate results from current or prior therapy </w:t>
      </w:r>
    </w:p>
    <w:p w:rsidRPr="005E45F8" w:rsidR="00F864A5" w:rsidP="00CB3F4E" w:rsidRDefault="00F864A5" w14:paraId="3E937EF7" w14:textId="25C53EA4">
      <w:pPr>
        <w:pStyle w:val="ListParagraph"/>
        <w:numPr>
          <w:ilvl w:val="0"/>
          <w:numId w:val="1"/>
        </w:numPr>
        <w:tabs>
          <w:tab w:val="left" w:pos="820"/>
          <w:tab w:val="left" w:pos="821"/>
        </w:tabs>
        <w:spacing w:line="278" w:lineRule="exact"/>
        <w:ind w:hanging="361"/>
        <w:rPr>
          <w:color w:val="FF3399"/>
        </w:rPr>
      </w:pPr>
      <w:r w:rsidRPr="005E45F8">
        <w:rPr>
          <w:color w:val="FF3399"/>
        </w:rPr>
        <w:t>Attach any relevant laboratory results</w:t>
      </w:r>
      <w:r w:rsidRPr="005E45F8" w:rsidR="00DA3438">
        <w:rPr>
          <w:color w:val="FF3399"/>
        </w:rPr>
        <w:t xml:space="preserve"> based on plan requirements</w:t>
      </w:r>
      <w:r w:rsidRPr="005E45F8">
        <w:rPr>
          <w:color w:val="FF3399"/>
        </w:rPr>
        <w:t xml:space="preserve"> (eg, </w:t>
      </w:r>
      <w:r w:rsidRPr="005E45F8" w:rsidR="00486163">
        <w:rPr>
          <w:color w:val="FF3399"/>
        </w:rPr>
        <w:t>white blood cell (</w:t>
      </w:r>
      <w:r w:rsidRPr="005E45F8">
        <w:rPr>
          <w:color w:val="FF3399"/>
        </w:rPr>
        <w:t>WBC</w:t>
      </w:r>
      <w:r w:rsidRPr="005E45F8" w:rsidR="00486163">
        <w:rPr>
          <w:color w:val="FF3399"/>
        </w:rPr>
        <w:t>)</w:t>
      </w:r>
      <w:r w:rsidRPr="005E45F8">
        <w:rPr>
          <w:color w:val="FF3399"/>
        </w:rPr>
        <w:t xml:space="preserve">, </w:t>
      </w:r>
      <w:r w:rsidRPr="005E45F8" w:rsidR="00486163">
        <w:rPr>
          <w:color w:val="FF3399"/>
        </w:rPr>
        <w:t>hemoglobin (</w:t>
      </w:r>
      <w:r w:rsidRPr="005E45F8">
        <w:rPr>
          <w:color w:val="FF3399"/>
        </w:rPr>
        <w:t>Hg</w:t>
      </w:r>
      <w:r w:rsidR="00D17293">
        <w:rPr>
          <w:color w:val="FF3399"/>
        </w:rPr>
        <w:t>b</w:t>
      </w:r>
      <w:r w:rsidRPr="005E45F8" w:rsidR="00486163">
        <w:rPr>
          <w:color w:val="FF3399"/>
        </w:rPr>
        <w:t>)</w:t>
      </w:r>
      <w:r w:rsidRPr="005E45F8">
        <w:rPr>
          <w:color w:val="FF3399"/>
        </w:rPr>
        <w:t xml:space="preserve">, </w:t>
      </w:r>
      <w:r w:rsidRPr="005E45F8" w:rsidR="00486163">
        <w:rPr>
          <w:color w:val="FF3399"/>
        </w:rPr>
        <w:t>p</w:t>
      </w:r>
      <w:r w:rsidRPr="005E45F8">
        <w:rPr>
          <w:color w:val="FF3399"/>
        </w:rPr>
        <w:t xml:space="preserve">latelets, T. bilirubin, </w:t>
      </w:r>
      <w:r w:rsidRPr="005E45F8" w:rsidR="00486163">
        <w:rPr>
          <w:color w:val="FF3399"/>
        </w:rPr>
        <w:t>a</w:t>
      </w:r>
      <w:r w:rsidRPr="005E45F8">
        <w:rPr>
          <w:color w:val="FF3399"/>
        </w:rPr>
        <w:t xml:space="preserve">lbumin) </w:t>
      </w:r>
    </w:p>
    <w:p w:rsidRPr="005E45F8" w:rsidR="007A3411" w:rsidP="005E45F8" w:rsidRDefault="007A3411" w14:paraId="74460093" w14:textId="47027503">
      <w:pPr>
        <w:pStyle w:val="ListParagraph"/>
        <w:numPr>
          <w:ilvl w:val="0"/>
          <w:numId w:val="1"/>
        </w:numPr>
        <w:tabs>
          <w:tab w:val="left" w:pos="820"/>
          <w:tab w:val="left" w:pos="821"/>
        </w:tabs>
        <w:spacing w:line="278" w:lineRule="exact"/>
        <w:ind w:hanging="361"/>
        <w:rPr>
          <w:color w:val="FF3399"/>
        </w:rPr>
      </w:pPr>
      <w:r w:rsidRPr="005E45F8">
        <w:rPr>
          <w:color w:val="FF3399"/>
        </w:rPr>
        <w:t>Current list of medications</w:t>
      </w:r>
      <w:r w:rsidR="00256A20">
        <w:rPr>
          <w:color w:val="FF3399"/>
        </w:rPr>
        <w:t>]</w:t>
      </w:r>
      <w:r w:rsidRPr="005E45F8">
        <w:rPr>
          <w:color w:val="FF3399"/>
        </w:rPr>
        <w:t xml:space="preserve"> </w:t>
      </w:r>
      <w:bookmarkEnd w:id="0"/>
    </w:p>
    <w:p w:rsidRPr="005E45F8" w:rsidR="007A3411" w:rsidP="00C958BE" w:rsidRDefault="007A3411" w14:paraId="23FFE9EC" w14:textId="77777777">
      <w:pPr>
        <w:pStyle w:val="Heading2"/>
        <w:ind w:left="0"/>
        <w:rPr>
          <w:color w:val="FF3399"/>
        </w:rPr>
      </w:pPr>
    </w:p>
    <w:p w:rsidRPr="005E45F8" w:rsidR="007A3411" w:rsidP="00955E56" w:rsidRDefault="00256A20" w14:paraId="25358E1A" w14:textId="444FE109">
      <w:pPr>
        <w:pStyle w:val="BodyText"/>
        <w:spacing w:before="36" w:line="256" w:lineRule="auto"/>
        <w:ind w:left="0" w:right="178"/>
        <w:rPr>
          <w:color w:val="FF3399"/>
        </w:rPr>
      </w:pPr>
      <w:r>
        <w:rPr>
          <w:color w:val="FF3399"/>
        </w:rPr>
        <w:t>[</w:t>
      </w:r>
      <w:r w:rsidRPr="005E45F8" w:rsidR="00D66659">
        <w:rPr>
          <w:color w:val="FF3399"/>
        </w:rPr>
        <w:t>Provide</w:t>
      </w:r>
      <w:r w:rsidRPr="005E45F8" w:rsidR="00321A4F">
        <w:rPr>
          <w:color w:val="FF3399"/>
        </w:rPr>
        <w:t xml:space="preserve"> rationale for prescribing </w:t>
      </w:r>
      <w:r w:rsidRPr="005E45F8" w:rsidR="00E77ECE">
        <w:rPr>
          <w:color w:val="FF3399"/>
        </w:rPr>
        <w:t>PLUVICTO</w:t>
      </w:r>
      <w:r w:rsidRPr="005E45F8" w:rsidR="00321A4F">
        <w:rPr>
          <w:color w:val="FF3399"/>
        </w:rPr>
        <w:t xml:space="preserve">. Rationale may include: </w:t>
      </w:r>
    </w:p>
    <w:p w:rsidRPr="005E45F8" w:rsidR="007A3411" w:rsidP="007A3411" w:rsidRDefault="007A3411" w14:paraId="721F1BAC" w14:textId="556F5ADE">
      <w:pPr>
        <w:pStyle w:val="BodyText"/>
        <w:numPr>
          <w:ilvl w:val="0"/>
          <w:numId w:val="4"/>
        </w:numPr>
        <w:spacing w:before="36" w:line="256" w:lineRule="auto"/>
        <w:ind w:right="178"/>
        <w:rPr>
          <w:color w:val="FF3399"/>
        </w:rPr>
      </w:pPr>
      <w:r w:rsidRPr="005E45F8">
        <w:rPr>
          <w:color w:val="FF3399"/>
        </w:rPr>
        <w:t>Provide clinical support for your recommendation as to why PLUVICTO is the most appropriate treatment option (</w:t>
      </w:r>
      <w:r w:rsidR="00D17293">
        <w:rPr>
          <w:color w:val="FF3399"/>
        </w:rPr>
        <w:t>t</w:t>
      </w:r>
      <w:r w:rsidRPr="005E45F8">
        <w:rPr>
          <w:color w:val="FF3399"/>
        </w:rPr>
        <w:t xml:space="preserve">his can be clinical trial data from the PLUVICTO </w:t>
      </w:r>
      <w:r w:rsidR="00D17293">
        <w:rPr>
          <w:color w:val="FF3399"/>
        </w:rPr>
        <w:t>p</w:t>
      </w:r>
      <w:r w:rsidRPr="005E45F8">
        <w:rPr>
          <w:color w:val="FF3399"/>
        </w:rPr>
        <w:t xml:space="preserve">rescribing </w:t>
      </w:r>
      <w:r w:rsidR="00D17293">
        <w:rPr>
          <w:color w:val="FF3399"/>
        </w:rPr>
        <w:t>i</w:t>
      </w:r>
      <w:r w:rsidRPr="005E45F8">
        <w:rPr>
          <w:color w:val="FF3399"/>
        </w:rPr>
        <w:t>nformation)</w:t>
      </w:r>
    </w:p>
    <w:p w:rsidRPr="005E45F8" w:rsidR="007A3411" w:rsidP="007A3411" w:rsidRDefault="007A3411" w14:paraId="7594E6F6" w14:textId="025773BE">
      <w:pPr>
        <w:pStyle w:val="BodyText"/>
        <w:numPr>
          <w:ilvl w:val="0"/>
          <w:numId w:val="4"/>
        </w:numPr>
        <w:spacing w:before="36" w:line="256" w:lineRule="auto"/>
        <w:ind w:right="178"/>
        <w:rPr>
          <w:color w:val="FF3399"/>
        </w:rPr>
      </w:pPr>
      <w:r w:rsidRPr="005E45F8">
        <w:rPr>
          <w:color w:val="FF3399"/>
        </w:rPr>
        <w:t xml:space="preserve">Detail any of the patient’s comorbidities that could serve as contraindications to certain other treatments </w:t>
      </w:r>
    </w:p>
    <w:p w:rsidRPr="005E45F8" w:rsidR="007A3411" w:rsidP="007A3411" w:rsidRDefault="007A3411" w14:paraId="47729B17" w14:textId="24A01307">
      <w:pPr>
        <w:pStyle w:val="BodyText"/>
        <w:numPr>
          <w:ilvl w:val="0"/>
          <w:numId w:val="4"/>
        </w:numPr>
        <w:spacing w:before="36" w:line="256" w:lineRule="auto"/>
        <w:ind w:right="178"/>
        <w:rPr>
          <w:color w:val="FF3399"/>
        </w:rPr>
      </w:pPr>
      <w:r w:rsidRPr="005E45F8">
        <w:rPr>
          <w:color w:val="FF3399"/>
        </w:rPr>
        <w:t xml:space="preserve">Explain why the health plan’s preferred therapies are not appropriate for your patient </w:t>
      </w:r>
    </w:p>
    <w:p w:rsidRPr="005E45F8" w:rsidR="007A3411" w:rsidP="007A3411" w:rsidRDefault="007A3411" w14:paraId="08E7F6A2" w14:textId="60A8EB87">
      <w:pPr>
        <w:pStyle w:val="BodyText"/>
        <w:numPr>
          <w:ilvl w:val="0"/>
          <w:numId w:val="4"/>
        </w:numPr>
        <w:spacing w:before="36" w:line="256" w:lineRule="auto"/>
        <w:ind w:right="178"/>
        <w:rPr>
          <w:color w:val="FF3399"/>
        </w:rPr>
      </w:pPr>
      <w:r w:rsidRPr="005E45F8">
        <w:rPr>
          <w:color w:val="FF3399"/>
        </w:rPr>
        <w:t>If you</w:t>
      </w:r>
      <w:r w:rsidR="00490290">
        <w:rPr>
          <w:color w:val="FF3399"/>
        </w:rPr>
        <w:t>r</w:t>
      </w:r>
      <w:r w:rsidRPr="005E45F8">
        <w:rPr>
          <w:color w:val="FF3399"/>
        </w:rPr>
        <w:t xml:space="preserve"> patient is already taking PLUVICTO, describe their response to PLUVICTO and explain why it is not in the best interest of you</w:t>
      </w:r>
      <w:r w:rsidR="005E45F8">
        <w:rPr>
          <w:color w:val="FF3399"/>
        </w:rPr>
        <w:t>r</w:t>
      </w:r>
      <w:r w:rsidRPr="005E45F8">
        <w:rPr>
          <w:color w:val="FF3399"/>
        </w:rPr>
        <w:t xml:space="preserve"> patient to </w:t>
      </w:r>
      <w:r w:rsidR="005E45F8">
        <w:rPr>
          <w:color w:val="FF3399"/>
        </w:rPr>
        <w:t xml:space="preserve">stop or </w:t>
      </w:r>
      <w:r w:rsidRPr="005E45F8">
        <w:rPr>
          <w:color w:val="FF3399"/>
        </w:rPr>
        <w:t xml:space="preserve">switch therapies </w:t>
      </w:r>
    </w:p>
    <w:p w:rsidRPr="00256A20" w:rsidR="005E45F8" w:rsidP="00256A20" w:rsidRDefault="007A3411" w14:paraId="442E4BB8" w14:textId="39CFD292">
      <w:pPr>
        <w:pStyle w:val="BodyText"/>
        <w:numPr>
          <w:ilvl w:val="0"/>
          <w:numId w:val="4"/>
        </w:numPr>
        <w:spacing w:before="36" w:line="256" w:lineRule="auto"/>
        <w:ind w:right="178"/>
        <w:rPr>
          <w:color w:val="FF3399"/>
        </w:rPr>
      </w:pPr>
      <w:r w:rsidRPr="005E45F8">
        <w:rPr>
          <w:color w:val="FF3399"/>
        </w:rPr>
        <w:t>Provide your professional opinion of the patient’s likely prognosis or disease progression without treatment with PLUVICTO</w:t>
      </w:r>
      <w:r w:rsidR="00256A20">
        <w:rPr>
          <w:color w:val="FF3399"/>
        </w:rPr>
        <w:t>]</w:t>
      </w:r>
      <w:r w:rsidRPr="005E45F8">
        <w:rPr>
          <w:color w:val="FF3399"/>
        </w:rPr>
        <w:t xml:space="preserve"> </w:t>
      </w:r>
    </w:p>
    <w:p w:rsidRPr="00D66659" w:rsidR="00321A4F" w:rsidP="00955E56" w:rsidRDefault="00321A4F" w14:paraId="3EBB84D3" w14:textId="7FA9D310">
      <w:pPr>
        <w:pStyle w:val="BodyText"/>
        <w:spacing w:before="166" w:line="259" w:lineRule="auto"/>
        <w:ind w:left="0" w:right="311"/>
      </w:pPr>
      <w:r w:rsidRPr="00D66659">
        <w:t xml:space="preserve">The ordering physician is </w:t>
      </w:r>
      <w:r w:rsidRPr="00D66659">
        <w:rPr>
          <w:color w:val="FF3399"/>
        </w:rPr>
        <w:t>[physician name, NPI #]</w:t>
      </w:r>
      <w:r w:rsidRPr="00D66659">
        <w:t xml:space="preserve">. The decision may be faxed to </w:t>
      </w:r>
      <w:r w:rsidRPr="00D66659">
        <w:rPr>
          <w:color w:val="FF3399"/>
        </w:rPr>
        <w:t xml:space="preserve">[physician fax #] </w:t>
      </w:r>
      <w:r w:rsidRPr="00D66659">
        <w:t xml:space="preserve">or mailed to </w:t>
      </w:r>
      <w:r w:rsidRPr="00D66659">
        <w:rPr>
          <w:color w:val="FF3399"/>
        </w:rPr>
        <w:t>[physician business office address]</w:t>
      </w:r>
      <w:r w:rsidRPr="00D66659">
        <w:t xml:space="preserve">. Please also send a copy of the coverage determination decision to </w:t>
      </w:r>
      <w:r w:rsidRPr="00D66659">
        <w:rPr>
          <w:color w:val="FF3399"/>
        </w:rPr>
        <w:t>[patient name]</w:t>
      </w:r>
      <w:r w:rsidRPr="00D66659">
        <w:t xml:space="preserve">. If you have any further questions about this matter, please feel free to contact me at </w:t>
      </w:r>
      <w:r w:rsidRPr="00D66659">
        <w:rPr>
          <w:color w:val="FF3399"/>
        </w:rPr>
        <w:t xml:space="preserve">[physician phone number] </w:t>
      </w:r>
      <w:r w:rsidRPr="00D66659">
        <w:t xml:space="preserve">or via email at </w:t>
      </w:r>
      <w:r w:rsidRPr="00D66659">
        <w:rPr>
          <w:color w:val="FF3399"/>
        </w:rPr>
        <w:t>[physician email]</w:t>
      </w:r>
      <w:r w:rsidRPr="00D66659">
        <w:t>. Thank you for your time and consideration.</w:t>
      </w:r>
    </w:p>
    <w:p w:rsidRPr="00D66659" w:rsidR="00321A4F" w:rsidP="00955E56" w:rsidRDefault="00321A4F" w14:paraId="3AE3648D" w14:textId="13602867">
      <w:pPr>
        <w:pStyle w:val="BodyText"/>
        <w:spacing w:before="160"/>
        <w:ind w:left="0"/>
      </w:pPr>
      <w:r w:rsidRPr="00D66659">
        <w:t>Sincerely,</w:t>
      </w:r>
    </w:p>
    <w:p w:rsidRPr="00D66659" w:rsidR="00321A4F" w:rsidP="00955E56" w:rsidRDefault="00321A4F" w14:paraId="40953D27" w14:textId="77777777">
      <w:pPr>
        <w:pStyle w:val="BodyText"/>
        <w:spacing w:before="182"/>
        <w:ind w:left="0"/>
      </w:pPr>
      <w:r w:rsidRPr="00D66659">
        <w:rPr>
          <w:color w:val="FF3399"/>
        </w:rPr>
        <w:t>[Physician’s signature]</w:t>
      </w:r>
    </w:p>
    <w:p w:rsidRPr="00D66659" w:rsidR="00321A4F" w:rsidP="00955E56" w:rsidRDefault="00321A4F" w14:paraId="3857E965" w14:textId="56D89E13">
      <w:pPr>
        <w:pStyle w:val="BodyText"/>
        <w:spacing w:before="181" w:line="403" w:lineRule="auto"/>
        <w:ind w:left="0" w:right="870"/>
      </w:pPr>
      <w:r w:rsidRPr="00D66659">
        <w:rPr>
          <w:color w:val="FF3399"/>
        </w:rPr>
        <w:t xml:space="preserve">[Physician name] [Patient name and signature, if applicable] [Name of practice] [Phone number] </w:t>
      </w:r>
      <w:r w:rsidRPr="00D66659">
        <w:t>Enclosures:</w:t>
      </w:r>
    </w:p>
    <w:p w:rsidRPr="00D66659" w:rsidR="00321A4F" w:rsidP="00955E56" w:rsidRDefault="00321A4F" w14:paraId="1FA19492" w14:textId="7E3F2F81">
      <w:pPr>
        <w:pStyle w:val="BodyText"/>
        <w:spacing w:line="259" w:lineRule="auto"/>
        <w:ind w:left="0" w:right="436"/>
        <w:rPr>
          <w:color w:val="FF3399"/>
        </w:rPr>
      </w:pPr>
      <w:r w:rsidRPr="00D66659">
        <w:rPr>
          <w:color w:val="FF3399"/>
        </w:rPr>
        <w:t xml:space="preserve">[List and attach additional documents, which may include a denial letter, </w:t>
      </w:r>
      <w:r w:rsidR="00D17293">
        <w:rPr>
          <w:color w:val="FF3399"/>
        </w:rPr>
        <w:t>l</w:t>
      </w:r>
      <w:r w:rsidRPr="00D66659">
        <w:rPr>
          <w:color w:val="FF3399"/>
        </w:rPr>
        <w:t xml:space="preserve">etter of </w:t>
      </w:r>
      <w:r w:rsidR="00D17293">
        <w:rPr>
          <w:color w:val="FF3399"/>
        </w:rPr>
        <w:t>m</w:t>
      </w:r>
      <w:r w:rsidRPr="00D66659">
        <w:rPr>
          <w:color w:val="FF3399"/>
        </w:rPr>
        <w:t xml:space="preserve">edical </w:t>
      </w:r>
      <w:r w:rsidR="00D17293">
        <w:rPr>
          <w:color w:val="FF3399"/>
        </w:rPr>
        <w:t>n</w:t>
      </w:r>
      <w:r w:rsidRPr="00D66659">
        <w:rPr>
          <w:color w:val="FF3399"/>
        </w:rPr>
        <w:t xml:space="preserve">ecessity, </w:t>
      </w:r>
      <w:r w:rsidR="00D17293">
        <w:rPr>
          <w:color w:val="FF3399"/>
        </w:rPr>
        <w:t>p</w:t>
      </w:r>
      <w:r w:rsidRPr="00D66659">
        <w:rPr>
          <w:color w:val="FF3399"/>
        </w:rPr>
        <w:t xml:space="preserve">rescribing </w:t>
      </w:r>
      <w:r w:rsidR="00D17293">
        <w:rPr>
          <w:color w:val="FF3399"/>
        </w:rPr>
        <w:t>i</w:t>
      </w:r>
      <w:r w:rsidRPr="00D66659">
        <w:rPr>
          <w:color w:val="FF3399"/>
        </w:rPr>
        <w:t xml:space="preserve">nformation, </w:t>
      </w:r>
      <w:r w:rsidRPr="00D66659" w:rsidR="00DA3438">
        <w:rPr>
          <w:color w:val="FF3399"/>
        </w:rPr>
        <w:t>imaging and/or lab results</w:t>
      </w:r>
      <w:r w:rsidRPr="00D66659">
        <w:rPr>
          <w:color w:val="FF3399"/>
        </w:rPr>
        <w:t>, clinical studies and efficacy data, and/or clinical practice guidelines.]</w:t>
      </w:r>
    </w:p>
    <w:p w:rsidRPr="00D66659" w:rsidR="00EB78FE" w:rsidP="00955E56" w:rsidRDefault="00281AA1" w14:paraId="768DCAA0" w14:textId="39E2B69D">
      <w:pPr>
        <w:pStyle w:val="BodyText"/>
        <w:spacing w:line="259" w:lineRule="auto"/>
        <w:ind w:left="0" w:right="436"/>
      </w:pPr>
      <w:r w:rsidRPr="00D66659">
        <w:rPr>
          <w:noProof/>
          <w:color w:val="FF2F92"/>
        </w:rPr>
        <mc:AlternateContent>
          <mc:Choice Requires="wps">
            <w:drawing>
              <wp:anchor distT="0" distB="0" distL="114300" distR="114300" simplePos="0" relativeHeight="251661312" behindDoc="0" locked="0" layoutInCell="1" allowOverlap="1" wp14:anchorId="2461A565" wp14:editId="76124675">
                <wp:simplePos x="0" y="0"/>
                <wp:positionH relativeFrom="column">
                  <wp:posOffset>-75985</wp:posOffset>
                </wp:positionH>
                <wp:positionV relativeFrom="paragraph">
                  <wp:posOffset>111017</wp:posOffset>
                </wp:positionV>
                <wp:extent cx="6445013" cy="890797"/>
                <wp:effectExtent l="12700" t="12700" r="6985" b="11430"/>
                <wp:wrapNone/>
                <wp:docPr id="1" name="Rectangle 1"/>
                <wp:cNvGraphicFramePr/>
                <a:graphic xmlns:a="http://schemas.openxmlformats.org/drawingml/2006/main">
                  <a:graphicData uri="http://schemas.microsoft.com/office/word/2010/wordprocessingShape">
                    <wps:wsp>
                      <wps:cNvSpPr/>
                      <wps:spPr>
                        <a:xfrm>
                          <a:off x="0" y="0"/>
                          <a:ext cx="6445013" cy="89079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0CA102AD">
              <v:rect id="Rectangle 1" style="position:absolute;margin-left:-6pt;margin-top:8.75pt;width:507.5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5pt" w14:anchorId="56FCFF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"/>
            </w:pict>
          </mc:Fallback>
        </mc:AlternateContent>
      </w:r>
    </w:p>
    <w:p w:rsidR="00281AA1" w:rsidP="00281AA1" w:rsidRDefault="00281AA1" w14:paraId="3F7BA100" w14:textId="370E47BC">
      <w:pPr>
        <w:spacing w:line="244" w:lineRule="exact"/>
        <w:rPr>
          <w:i/>
        </w:rPr>
      </w:pPr>
      <w:r w:rsidRPr="00D66659">
        <w:rPr>
          <w:i/>
        </w:rPr>
        <w:t>This letter is provided as an example and is meant for educational purposes only. Novartis cannot guarantee insurance coverage or reimbursement. Coverage</w:t>
      </w:r>
      <w:r>
        <w:rPr>
          <w:i/>
        </w:rPr>
        <w:t xml:space="preserve"> and reimbursement may vary significantly by payer, plan, patient, and setting of care. It is the sole responsibility of the health care provider to include the proper information and ensure the accuracy of all statements used in seeking coverage and reimbursement for an individual patient.</w:t>
      </w:r>
    </w:p>
    <w:p w:rsidR="00281AA1" w:rsidP="00955E56" w:rsidRDefault="00281AA1" w14:paraId="683E7782" w14:textId="77777777">
      <w:pPr>
        <w:pStyle w:val="BodyText"/>
        <w:spacing w:line="259" w:lineRule="auto"/>
        <w:ind w:left="0" w:right="436"/>
      </w:pPr>
    </w:p>
    <w:p w:rsidRPr="00A12615" w:rsidR="00317C0A" w:rsidP="00317C0A" w:rsidRDefault="00317C0A" w14:paraId="337879EB" w14:textId="77777777">
      <w:pPr>
        <w:rPr>
          <w:b/>
          <w:bCs/>
          <w:color w:val="1B4092"/>
          <w:sz w:val="18"/>
          <w:szCs w:val="18"/>
        </w:rPr>
      </w:pPr>
      <w:r w:rsidRPr="003D251C">
        <w:rPr>
          <w:b/>
          <w:bCs/>
          <w:color w:val="1B4092"/>
          <w:sz w:val="18"/>
          <w:szCs w:val="18"/>
        </w:rPr>
        <w:t>INDICATION &amp; IMPORTANT SAFETY INFORMATION</w:t>
      </w:r>
    </w:p>
    <w:p w:rsidR="00317C0A" w:rsidP="00317C0A" w:rsidRDefault="00317C0A" w14:paraId="2FEA04CA" w14:textId="77777777">
      <w:pPr>
        <w:rPr>
          <w:b/>
          <w:bCs/>
          <w:color w:val="000000" w:themeColor="text1"/>
          <w:sz w:val="18"/>
          <w:szCs w:val="18"/>
        </w:rPr>
      </w:pPr>
    </w:p>
    <w:p w:rsidRPr="00382162" w:rsidR="00317C0A" w:rsidP="00317C0A" w:rsidRDefault="00317C0A" w14:paraId="3FC679BF" w14:textId="77777777">
      <w:pPr>
        <w:spacing w:line="360" w:lineRule="auto"/>
        <w:rPr>
          <w:b/>
          <w:bCs/>
          <w:color w:val="1B4092"/>
          <w:sz w:val="18"/>
          <w:szCs w:val="18"/>
        </w:rPr>
      </w:pPr>
      <w:r w:rsidRPr="003D251C">
        <w:rPr>
          <w:b/>
          <w:bCs/>
          <w:color w:val="1B4092"/>
          <w:sz w:val="18"/>
          <w:szCs w:val="18"/>
        </w:rPr>
        <w:t>INDICATION</w:t>
      </w:r>
    </w:p>
    <w:p w:rsidRPr="00A12615" w:rsidR="00317C0A" w:rsidP="00317C0A" w:rsidRDefault="00317C0A" w14:paraId="3C396F5A" w14:textId="77777777">
      <w:pPr>
        <w:spacing w:line="276" w:lineRule="auto"/>
        <w:rPr>
          <w:color w:val="000000" w:themeColor="text1"/>
          <w:sz w:val="18"/>
          <w:szCs w:val="18"/>
        </w:rPr>
      </w:pPr>
      <w:r w:rsidRPr="00A12615">
        <w:rPr>
          <w:color w:val="000000" w:themeColor="text1"/>
          <w:sz w:val="18"/>
          <w:szCs w:val="18"/>
        </w:rPr>
        <w:t>PLUVICTO</w:t>
      </w:r>
      <w:r w:rsidRPr="00A12615">
        <w:rPr>
          <w:color w:val="000000" w:themeColor="text1"/>
          <w:sz w:val="18"/>
          <w:szCs w:val="18"/>
          <w:vertAlign w:val="superscript"/>
        </w:rPr>
        <w:t>® </w:t>
      </w:r>
      <w:r w:rsidRPr="00A12615">
        <w:rPr>
          <w:color w:val="000000" w:themeColor="text1"/>
          <w:sz w:val="18"/>
          <w:szCs w:val="18"/>
        </w:rPr>
        <w:t>(lutetium Lu 177 vipivotide tetraxetan) is indicated for the treatment of adult patients with prostate-specific membrane antigen (PSMA)-positive metastatic castration-resistant prostate cancer (</w:t>
      </w:r>
      <w:proofErr w:type="spellStart"/>
      <w:r w:rsidRPr="00A12615">
        <w:rPr>
          <w:color w:val="000000" w:themeColor="text1"/>
          <w:sz w:val="18"/>
          <w:szCs w:val="18"/>
        </w:rPr>
        <w:t>mCRPC</w:t>
      </w:r>
      <w:proofErr w:type="spellEnd"/>
      <w:r w:rsidRPr="00A12615">
        <w:rPr>
          <w:color w:val="000000" w:themeColor="text1"/>
          <w:sz w:val="18"/>
          <w:szCs w:val="18"/>
        </w:rPr>
        <w:t xml:space="preserve">) who have been treated with androgen receptor pathway inhibition (ARPI) therapy, and </w:t>
      </w:r>
    </w:p>
    <w:p w:rsidRPr="00A12615" w:rsidR="00317C0A" w:rsidP="00317C0A" w:rsidRDefault="00317C0A" w14:paraId="027196CE" w14:textId="77777777">
      <w:pPr>
        <w:pStyle w:val="ListParagraph"/>
        <w:widowControl/>
        <w:numPr>
          <w:ilvl w:val="0"/>
          <w:numId w:val="5"/>
        </w:numPr>
        <w:autoSpaceDE/>
        <w:autoSpaceDN/>
        <w:spacing w:line="276" w:lineRule="auto"/>
        <w:contextualSpacing/>
        <w:rPr>
          <w:color w:val="000000" w:themeColor="text1"/>
          <w:sz w:val="18"/>
          <w:szCs w:val="18"/>
        </w:rPr>
      </w:pPr>
      <w:r w:rsidRPr="00A12615">
        <w:rPr>
          <w:color w:val="000000" w:themeColor="text1"/>
          <w:sz w:val="18"/>
          <w:szCs w:val="18"/>
        </w:rPr>
        <w:t xml:space="preserve">are considered appropriate to delay </w:t>
      </w:r>
      <w:proofErr w:type="spellStart"/>
      <w:r w:rsidRPr="00A12615">
        <w:rPr>
          <w:color w:val="000000" w:themeColor="text1"/>
          <w:sz w:val="18"/>
          <w:szCs w:val="18"/>
        </w:rPr>
        <w:t>taxane</w:t>
      </w:r>
      <w:proofErr w:type="spellEnd"/>
      <w:r w:rsidRPr="00A12615">
        <w:rPr>
          <w:color w:val="000000" w:themeColor="text1"/>
          <w:sz w:val="18"/>
          <w:szCs w:val="18"/>
        </w:rPr>
        <w:t>-based chemotherapy, or</w:t>
      </w:r>
    </w:p>
    <w:p w:rsidRPr="00A12615" w:rsidR="00317C0A" w:rsidP="00317C0A" w:rsidRDefault="00317C0A" w14:paraId="5AB31EC6" w14:textId="77777777">
      <w:pPr>
        <w:pStyle w:val="ListParagraph"/>
        <w:widowControl/>
        <w:numPr>
          <w:ilvl w:val="0"/>
          <w:numId w:val="5"/>
        </w:numPr>
        <w:autoSpaceDE/>
        <w:autoSpaceDN/>
        <w:spacing w:line="276" w:lineRule="auto"/>
        <w:contextualSpacing/>
        <w:rPr>
          <w:color w:val="000000" w:themeColor="text1"/>
          <w:sz w:val="18"/>
          <w:szCs w:val="18"/>
        </w:rPr>
      </w:pPr>
      <w:r w:rsidRPr="00A12615">
        <w:rPr>
          <w:color w:val="000000" w:themeColor="text1"/>
          <w:sz w:val="18"/>
          <w:szCs w:val="18"/>
        </w:rPr>
        <w:t xml:space="preserve">have received prior </w:t>
      </w:r>
      <w:proofErr w:type="spellStart"/>
      <w:r w:rsidRPr="00A12615">
        <w:rPr>
          <w:color w:val="000000" w:themeColor="text1"/>
          <w:sz w:val="18"/>
          <w:szCs w:val="18"/>
        </w:rPr>
        <w:t>taxane</w:t>
      </w:r>
      <w:proofErr w:type="spellEnd"/>
      <w:r w:rsidRPr="00A12615">
        <w:rPr>
          <w:color w:val="000000" w:themeColor="text1"/>
          <w:sz w:val="18"/>
          <w:szCs w:val="18"/>
        </w:rPr>
        <w:t xml:space="preserve">-based chemotherapy </w:t>
      </w:r>
    </w:p>
    <w:p w:rsidR="00317C0A" w:rsidP="00317C0A" w:rsidRDefault="00317C0A" w14:paraId="24B065C7" w14:textId="77777777">
      <w:pPr>
        <w:spacing w:line="360" w:lineRule="auto"/>
        <w:rPr>
          <w:b/>
          <w:bCs/>
          <w:color w:val="1B4092"/>
          <w:sz w:val="18"/>
          <w:szCs w:val="18"/>
        </w:rPr>
      </w:pPr>
    </w:p>
    <w:p w:rsidRPr="00382162" w:rsidR="00317C0A" w:rsidP="00317C0A" w:rsidRDefault="00317C0A" w14:paraId="1E3D5797" w14:textId="77777777">
      <w:pPr>
        <w:spacing w:line="360" w:lineRule="auto"/>
        <w:rPr>
          <w:b/>
          <w:bCs/>
          <w:color w:val="1B4092"/>
          <w:sz w:val="18"/>
          <w:szCs w:val="18"/>
        </w:rPr>
      </w:pPr>
      <w:r>
        <w:rPr>
          <w:b/>
          <w:bCs/>
          <w:color w:val="1B4092"/>
          <w:sz w:val="18"/>
          <w:szCs w:val="18"/>
        </w:rPr>
        <w:t>IMPORTANT SAFETY INFORMATION</w:t>
      </w:r>
    </w:p>
    <w:p w:rsidRPr="00382162" w:rsidR="00317C0A" w:rsidP="00317C0A" w:rsidRDefault="00317C0A" w14:paraId="3255FC98" w14:textId="77777777">
      <w:pPr>
        <w:spacing w:line="276" w:lineRule="auto"/>
        <w:rPr>
          <w:b/>
          <w:bCs/>
          <w:color w:val="3978BF"/>
          <w:sz w:val="18"/>
          <w:szCs w:val="18"/>
        </w:rPr>
      </w:pPr>
      <w:r w:rsidRPr="003D251C">
        <w:rPr>
          <w:b/>
          <w:bCs/>
          <w:color w:val="3978BF"/>
          <w:sz w:val="18"/>
          <w:szCs w:val="18"/>
        </w:rPr>
        <w:t>Risk From Radiation Exposure</w:t>
      </w:r>
    </w:p>
    <w:p w:rsidR="00317C0A" w:rsidP="00317C0A" w:rsidRDefault="00317C0A" w14:paraId="27C82AA9" w14:textId="77777777">
      <w:pPr>
        <w:spacing w:line="276" w:lineRule="auto"/>
        <w:rPr>
          <w:color w:val="000000" w:themeColor="text1"/>
          <w:sz w:val="18"/>
          <w:szCs w:val="18"/>
        </w:rPr>
      </w:pPr>
      <w:r w:rsidRPr="00A12615">
        <w:rPr>
          <w:color w:val="000000" w:themeColor="text1"/>
          <w:sz w:val="18"/>
          <w:szCs w:val="18"/>
        </w:rPr>
        <w:t xml:space="preserve">PLUVICTO contributes to a patient’s long-term cumulative radiation exposure, which is associated with an increased risk </w:t>
      </w:r>
    </w:p>
    <w:p w:rsidR="00317C0A" w:rsidP="00317C0A" w:rsidRDefault="00317C0A" w14:paraId="45196E42" w14:textId="77777777">
      <w:pPr>
        <w:spacing w:line="276" w:lineRule="auto"/>
        <w:rPr>
          <w:color w:val="000000" w:themeColor="text1"/>
          <w:sz w:val="18"/>
          <w:szCs w:val="18"/>
        </w:rPr>
      </w:pPr>
      <w:r w:rsidRPr="00A12615">
        <w:rPr>
          <w:color w:val="000000" w:themeColor="text1"/>
          <w:sz w:val="18"/>
          <w:szCs w:val="18"/>
        </w:rPr>
        <w:t>for cancer.</w:t>
      </w:r>
      <w:r w:rsidRPr="00A12615">
        <w:rPr>
          <w:color w:val="000000" w:themeColor="text1"/>
          <w:sz w:val="18"/>
          <w:szCs w:val="18"/>
        </w:rPr>
        <w:br/>
      </w:r>
    </w:p>
    <w:p w:rsidRPr="00A12615" w:rsidR="00317C0A" w:rsidP="00317C0A" w:rsidRDefault="00317C0A" w14:paraId="7BA7C426" w14:textId="77777777">
      <w:pPr>
        <w:spacing w:line="276" w:lineRule="auto"/>
        <w:rPr>
          <w:color w:val="000000" w:themeColor="text1"/>
          <w:sz w:val="18"/>
          <w:szCs w:val="18"/>
        </w:rPr>
      </w:pPr>
      <w:r w:rsidRPr="00A12615">
        <w:rPr>
          <w:color w:val="000000" w:themeColor="text1"/>
          <w:sz w:val="18"/>
          <w:szCs w:val="18"/>
        </w:rPr>
        <w:t>Minimize radiation exposure to patients, medical personnel, and others during and after treatment with PLUVICTO consistent with institutional practices, patient treatment procedures, Nuclear Regulatory Commission patient-release guidance, and instructions to the patient for follow-up radiation protection.</w:t>
      </w:r>
    </w:p>
    <w:p w:rsidR="00317C0A" w:rsidP="00317C0A" w:rsidRDefault="00317C0A" w14:paraId="6E1CCE67" w14:textId="77777777">
      <w:pPr>
        <w:spacing w:line="276" w:lineRule="auto"/>
        <w:rPr>
          <w:color w:val="000000" w:themeColor="text1"/>
          <w:sz w:val="18"/>
          <w:szCs w:val="18"/>
        </w:rPr>
      </w:pPr>
    </w:p>
    <w:p w:rsidR="00317C0A" w:rsidP="00317C0A" w:rsidRDefault="00317C0A" w14:paraId="62273522" w14:textId="77777777">
      <w:pPr>
        <w:spacing w:line="276" w:lineRule="auto"/>
        <w:rPr>
          <w:color w:val="000000" w:themeColor="text1"/>
          <w:sz w:val="18"/>
          <w:szCs w:val="18"/>
        </w:rPr>
      </w:pPr>
      <w:r w:rsidRPr="00A12615">
        <w:rPr>
          <w:color w:val="000000" w:themeColor="text1"/>
          <w:sz w:val="18"/>
          <w:szCs w:val="18"/>
        </w:rPr>
        <w:t>Ensure patients increase oral fluid intake and advise them to void as often as possible to reduce bladder radiation.</w:t>
      </w:r>
    </w:p>
    <w:p w:rsidR="00317C0A" w:rsidP="00317C0A" w:rsidRDefault="00317C0A" w14:paraId="152E52F7" w14:textId="77777777">
      <w:pPr>
        <w:spacing w:line="276" w:lineRule="auto"/>
        <w:rPr>
          <w:color w:val="000000" w:themeColor="text1"/>
          <w:sz w:val="18"/>
          <w:szCs w:val="18"/>
        </w:rPr>
      </w:pPr>
    </w:p>
    <w:p w:rsidRPr="00A12615" w:rsidR="00317C0A" w:rsidP="00317C0A" w:rsidRDefault="00317C0A" w14:paraId="2D3179A4" w14:textId="77777777">
      <w:pPr>
        <w:spacing w:line="276" w:lineRule="auto"/>
        <w:rPr>
          <w:color w:val="000000" w:themeColor="text1"/>
          <w:sz w:val="18"/>
          <w:szCs w:val="18"/>
        </w:rPr>
      </w:pPr>
      <w:r w:rsidRPr="00A12615">
        <w:rPr>
          <w:color w:val="000000" w:themeColor="text1"/>
          <w:sz w:val="18"/>
          <w:szCs w:val="18"/>
        </w:rPr>
        <w:t>To minimize radiation exposure to others, advise patients to limit close contact (less than 3 feet) with household contacts for 2 days or with children and pregnant women for 7 days, to refrain from sexual activity for 7 days, and to sleep in a separate bedroom from household contacts for 3 days, from children for 7 days, or from pregnant women for 15 days.</w:t>
      </w:r>
    </w:p>
    <w:p w:rsidR="00317C0A" w:rsidP="00317C0A" w:rsidRDefault="00317C0A" w14:paraId="5E144CFC" w14:textId="77777777">
      <w:pPr>
        <w:spacing w:line="276" w:lineRule="auto"/>
        <w:rPr>
          <w:b/>
          <w:bCs/>
          <w:color w:val="3978C0"/>
          <w:sz w:val="18"/>
          <w:szCs w:val="18"/>
        </w:rPr>
      </w:pPr>
    </w:p>
    <w:p w:rsidR="00317C0A" w:rsidP="00317C0A" w:rsidRDefault="00317C0A" w14:paraId="4BDA5988" w14:textId="77777777">
      <w:pPr>
        <w:spacing w:line="276" w:lineRule="auto"/>
        <w:rPr>
          <w:rFonts w:hint="eastAsia" w:eastAsia="Batang"/>
          <w:color w:val="000000" w:themeColor="text1"/>
          <w:sz w:val="18"/>
          <w:szCs w:val="18"/>
        </w:rPr>
      </w:pPr>
      <w:r w:rsidRPr="00A12615">
        <w:rPr>
          <w:b/>
          <w:bCs/>
          <w:color w:val="3978C0"/>
          <w:sz w:val="18"/>
          <w:szCs w:val="18"/>
        </w:rPr>
        <w:t>Myelosuppression</w:t>
      </w:r>
    </w:p>
    <w:p w:rsidR="00317C0A" w:rsidP="00317C0A" w:rsidRDefault="00317C0A" w14:paraId="12A98529" w14:textId="77777777">
      <w:pPr>
        <w:spacing w:line="276" w:lineRule="auto"/>
        <w:rPr>
          <w:rFonts w:hint="eastAsia" w:eastAsia="Batang"/>
          <w:color w:val="000000" w:themeColor="text1"/>
          <w:sz w:val="18"/>
          <w:szCs w:val="18"/>
        </w:rPr>
      </w:pPr>
      <w:r w:rsidRPr="00A12615">
        <w:rPr>
          <w:rFonts w:eastAsia="Batang"/>
          <w:color w:val="000000" w:themeColor="text1"/>
          <w:sz w:val="18"/>
          <w:szCs w:val="18"/>
        </w:rPr>
        <w:t xml:space="preserve">PLUVICTO can cause severe and life-threatening myelosuppression. In the </w:t>
      </w:r>
      <w:proofErr w:type="spellStart"/>
      <w:r w:rsidRPr="00A12615">
        <w:rPr>
          <w:rFonts w:eastAsia="Batang"/>
          <w:color w:val="000000" w:themeColor="text1"/>
          <w:sz w:val="18"/>
          <w:szCs w:val="18"/>
        </w:rPr>
        <w:t>PSMAfore</w:t>
      </w:r>
      <w:proofErr w:type="spellEnd"/>
      <w:r w:rsidRPr="00A12615">
        <w:rPr>
          <w:rFonts w:eastAsia="Batang"/>
          <w:color w:val="000000" w:themeColor="text1"/>
          <w:sz w:val="18"/>
          <w:szCs w:val="18"/>
        </w:rPr>
        <w:t xml:space="preserve"> study, grade 3 or 4 decreased hemoglobin (7%), decreased leukocytes (4.4%), decreased neutrophils (3.5%), and decreased platelets (2.7%) occurred in patients treated with PLUVICTO. One death occurred due to bone marrow failure during long-term follow-up in a patient who received PLUVICTO. In the VISION study, 4 myelosuppression-related deaths occurred.</w:t>
      </w:r>
      <w:r w:rsidRPr="00A12615" w:rsidDel="00C63746">
        <w:rPr>
          <w:rFonts w:eastAsia="Batang"/>
          <w:color w:val="000000" w:themeColor="text1"/>
          <w:sz w:val="18"/>
          <w:szCs w:val="18"/>
        </w:rPr>
        <w:t xml:space="preserve"> </w:t>
      </w:r>
      <w:r w:rsidRPr="00A12615">
        <w:rPr>
          <w:rFonts w:eastAsia="Batang"/>
          <w:color w:val="000000" w:themeColor="text1"/>
          <w:sz w:val="18"/>
          <w:szCs w:val="18"/>
        </w:rPr>
        <w:br/>
      </w:r>
    </w:p>
    <w:p w:rsidR="00317C0A" w:rsidP="00317C0A" w:rsidRDefault="00317C0A" w14:paraId="0C6625B4" w14:textId="77777777">
      <w:pPr>
        <w:spacing w:line="276" w:lineRule="auto"/>
        <w:rPr>
          <w:rFonts w:hint="eastAsia" w:eastAsia="Batang"/>
          <w:color w:val="000000" w:themeColor="text1"/>
          <w:sz w:val="18"/>
          <w:szCs w:val="18"/>
        </w:rPr>
      </w:pPr>
      <w:r w:rsidRPr="00A12615">
        <w:rPr>
          <w:rFonts w:eastAsia="Batang"/>
          <w:color w:val="000000" w:themeColor="text1"/>
          <w:sz w:val="18"/>
          <w:szCs w:val="18"/>
        </w:rPr>
        <w:t>Perform complete blood counts before and during treatment with PLUVICTO. Withhold, reduce dose, or permanently discontinue PLUVICTO based on severity of myelosuppression.</w:t>
      </w:r>
    </w:p>
    <w:p w:rsidRPr="001575C2" w:rsidR="00317C0A" w:rsidP="00317C0A" w:rsidRDefault="00317C0A" w14:paraId="45C11985" w14:textId="77777777">
      <w:pPr>
        <w:spacing w:line="276" w:lineRule="auto"/>
        <w:rPr>
          <w:rFonts w:hint="eastAsia" w:eastAsia="Batang"/>
          <w:color w:val="000000" w:themeColor="text1"/>
          <w:sz w:val="18"/>
          <w:szCs w:val="18"/>
        </w:rPr>
      </w:pPr>
    </w:p>
    <w:p w:rsidRPr="00382162" w:rsidR="00317C0A" w:rsidP="00317C0A" w:rsidRDefault="00317C0A" w14:paraId="1BFCE6D3" w14:textId="77777777">
      <w:pPr>
        <w:spacing w:line="276" w:lineRule="auto"/>
        <w:rPr>
          <w:rFonts w:hint="eastAsia" w:eastAsia="Batang"/>
          <w:b/>
          <w:bCs/>
          <w:color w:val="3978C0"/>
          <w:sz w:val="18"/>
          <w:szCs w:val="18"/>
        </w:rPr>
      </w:pPr>
      <w:r w:rsidRPr="00A12615">
        <w:rPr>
          <w:rFonts w:eastAsia="Batang"/>
          <w:b/>
          <w:bCs/>
          <w:color w:val="3978C0"/>
          <w:sz w:val="18"/>
          <w:szCs w:val="18"/>
        </w:rPr>
        <w:t>Renal Toxicity</w:t>
      </w:r>
    </w:p>
    <w:p w:rsidR="00317C0A" w:rsidP="00317C0A" w:rsidRDefault="00317C0A" w14:paraId="502FE885" w14:textId="77777777">
      <w:pPr>
        <w:spacing w:line="276" w:lineRule="auto"/>
        <w:rPr>
          <w:rFonts w:hint="eastAsia" w:eastAsia="Batang"/>
          <w:color w:val="000000" w:themeColor="text1"/>
          <w:sz w:val="18"/>
          <w:szCs w:val="18"/>
        </w:rPr>
      </w:pPr>
      <w:r w:rsidRPr="00A12615">
        <w:rPr>
          <w:rFonts w:eastAsia="Batang"/>
          <w:color w:val="000000" w:themeColor="text1"/>
          <w:sz w:val="18"/>
          <w:szCs w:val="18"/>
        </w:rPr>
        <w:t xml:space="preserve">PLUVICTO can cause severe renal toxicity. In the </w:t>
      </w:r>
      <w:proofErr w:type="spellStart"/>
      <w:r w:rsidRPr="00A12615">
        <w:rPr>
          <w:rFonts w:eastAsia="Batang"/>
          <w:color w:val="000000" w:themeColor="text1"/>
          <w:sz w:val="18"/>
          <w:szCs w:val="18"/>
        </w:rPr>
        <w:t>PSMAfore</w:t>
      </w:r>
      <w:proofErr w:type="spellEnd"/>
      <w:r w:rsidRPr="00A12615">
        <w:rPr>
          <w:rFonts w:eastAsia="Batang"/>
          <w:color w:val="000000" w:themeColor="text1"/>
          <w:sz w:val="18"/>
          <w:szCs w:val="18"/>
        </w:rPr>
        <w:t xml:space="preserve"> study, grade 3 or 4 acute kidney injury (1.3%) occurred in patients treated with PLUVICTO.</w:t>
      </w:r>
    </w:p>
    <w:p w:rsidR="00317C0A" w:rsidP="00317C0A" w:rsidRDefault="00317C0A" w14:paraId="58F8152D" w14:textId="77777777">
      <w:pPr>
        <w:spacing w:line="276" w:lineRule="auto"/>
        <w:rPr>
          <w:rFonts w:hint="eastAsia" w:eastAsia="Batang"/>
          <w:color w:val="000000" w:themeColor="text1"/>
          <w:sz w:val="18"/>
          <w:szCs w:val="18"/>
        </w:rPr>
      </w:pPr>
    </w:p>
    <w:p w:rsidRPr="00A12615" w:rsidR="00317C0A" w:rsidP="00317C0A" w:rsidRDefault="00317C0A" w14:paraId="4051378A" w14:textId="77777777">
      <w:pPr>
        <w:spacing w:line="276" w:lineRule="auto"/>
        <w:rPr>
          <w:rFonts w:hint="eastAsia" w:eastAsia="Batang"/>
          <w:color w:val="000000" w:themeColor="text1"/>
          <w:sz w:val="18"/>
          <w:szCs w:val="18"/>
        </w:rPr>
      </w:pPr>
      <w:r w:rsidRPr="00A12615">
        <w:rPr>
          <w:rFonts w:eastAsia="Batang"/>
          <w:color w:val="000000" w:themeColor="text1"/>
          <w:sz w:val="18"/>
          <w:szCs w:val="18"/>
        </w:rPr>
        <w:t>Advise patients to remain well hydrated and to urinate frequently before and after administration of PLUVICTO. Perform kidney function laboratory tests, including serum creatinine and calculated creatinine clearance (</w:t>
      </w:r>
      <w:proofErr w:type="spellStart"/>
      <w:r w:rsidRPr="00A12615">
        <w:rPr>
          <w:rFonts w:eastAsia="Batang"/>
          <w:color w:val="000000" w:themeColor="text1"/>
          <w:sz w:val="18"/>
          <w:szCs w:val="18"/>
        </w:rPr>
        <w:t>CrCl</w:t>
      </w:r>
      <w:proofErr w:type="spellEnd"/>
      <w:r w:rsidRPr="00A12615">
        <w:rPr>
          <w:rFonts w:eastAsia="Batang"/>
          <w:color w:val="000000" w:themeColor="text1"/>
          <w:sz w:val="18"/>
          <w:szCs w:val="18"/>
        </w:rPr>
        <w:t>), before and during treatment. Withhold, reduce dose, or permanently discontinue PLUVICTO based on severity of renal toxicity.</w:t>
      </w:r>
    </w:p>
    <w:p w:rsidR="00317C0A" w:rsidP="00317C0A" w:rsidRDefault="00317C0A" w14:paraId="06CC7AF5" w14:textId="77777777">
      <w:pPr>
        <w:spacing w:line="276" w:lineRule="auto"/>
        <w:rPr>
          <w:rFonts w:hint="eastAsia" w:eastAsia="Batang"/>
          <w:b/>
          <w:bCs/>
          <w:color w:val="3978C0"/>
          <w:sz w:val="18"/>
          <w:szCs w:val="18"/>
        </w:rPr>
      </w:pPr>
    </w:p>
    <w:p w:rsidR="00317C0A" w:rsidP="00317C0A" w:rsidRDefault="00317C0A" w14:paraId="6D95C9F7" w14:textId="77777777">
      <w:pPr>
        <w:spacing w:line="276" w:lineRule="auto"/>
        <w:rPr>
          <w:color w:val="000000" w:themeColor="text1"/>
          <w:sz w:val="18"/>
          <w:szCs w:val="18"/>
        </w:rPr>
      </w:pPr>
      <w:r w:rsidRPr="00A12615">
        <w:rPr>
          <w:rFonts w:eastAsia="Batang"/>
          <w:b/>
          <w:bCs/>
          <w:color w:val="3978C0"/>
          <w:sz w:val="18"/>
          <w:szCs w:val="18"/>
        </w:rPr>
        <w:t>Embryo-Fetal Toxicity</w:t>
      </w:r>
    </w:p>
    <w:p w:rsidRPr="00A12615" w:rsidR="00317C0A" w:rsidP="00317C0A" w:rsidRDefault="00317C0A" w14:paraId="2671F514" w14:textId="77777777">
      <w:pPr>
        <w:spacing w:line="276" w:lineRule="auto"/>
        <w:rPr>
          <w:color w:val="000000" w:themeColor="text1"/>
          <w:sz w:val="18"/>
          <w:szCs w:val="18"/>
        </w:rPr>
      </w:pPr>
      <w:r w:rsidRPr="00A12615">
        <w:rPr>
          <w:color w:val="000000" w:themeColor="text1"/>
          <w:sz w:val="18"/>
          <w:szCs w:val="18"/>
        </w:rPr>
        <w:t>The safety and efficacy of PLUVICTO have not been established in females. Based on its mechanism of action, PLUVICTO can cause fetal harm. No animal studies using lutetium Lu 177 vipivotide tetraxetan have been conducted to evaluate its effect on female reproduction and embryo-fetal development; however, radioactive emissions, including those from PLUVICTO, can cause fetal harm. Advise males with female partners of reproductive potential to use effective contraception during treatment with PLUVICTO and for 14 weeks after the last dose.</w:t>
      </w:r>
    </w:p>
    <w:p w:rsidR="00317C0A" w:rsidP="00317C0A" w:rsidRDefault="00317C0A" w14:paraId="7CD3CCEA" w14:textId="77777777">
      <w:pPr>
        <w:spacing w:line="276" w:lineRule="auto"/>
        <w:rPr>
          <w:b/>
          <w:bCs/>
          <w:color w:val="3978C0"/>
          <w:sz w:val="18"/>
          <w:szCs w:val="18"/>
        </w:rPr>
      </w:pPr>
    </w:p>
    <w:p w:rsidRPr="00382162" w:rsidR="00317C0A" w:rsidP="00317C0A" w:rsidRDefault="00317C0A" w14:paraId="6469263D" w14:textId="77777777">
      <w:pPr>
        <w:spacing w:line="276" w:lineRule="auto"/>
        <w:rPr>
          <w:b/>
          <w:bCs/>
          <w:color w:val="3978C0"/>
          <w:sz w:val="18"/>
          <w:szCs w:val="18"/>
        </w:rPr>
      </w:pPr>
      <w:r w:rsidRPr="00A12615">
        <w:rPr>
          <w:b/>
          <w:bCs/>
          <w:color w:val="3978C0"/>
          <w:sz w:val="18"/>
          <w:szCs w:val="18"/>
        </w:rPr>
        <w:t>Infertility</w:t>
      </w:r>
    </w:p>
    <w:p w:rsidRPr="00A12615" w:rsidR="00317C0A" w:rsidP="00317C0A" w:rsidRDefault="00317C0A" w14:paraId="30ECEE78" w14:textId="77777777">
      <w:pPr>
        <w:spacing w:line="276" w:lineRule="auto"/>
        <w:rPr>
          <w:color w:val="000000" w:themeColor="text1"/>
          <w:sz w:val="18"/>
          <w:szCs w:val="18"/>
        </w:rPr>
      </w:pPr>
      <w:r w:rsidRPr="00A12615">
        <w:rPr>
          <w:color w:val="000000" w:themeColor="text1"/>
          <w:sz w:val="18"/>
          <w:szCs w:val="18"/>
        </w:rPr>
        <w:t xml:space="preserve">The recommended cumulative dose of 44.4 </w:t>
      </w:r>
      <w:proofErr w:type="spellStart"/>
      <w:r w:rsidRPr="00A12615">
        <w:rPr>
          <w:color w:val="000000" w:themeColor="text1"/>
          <w:sz w:val="18"/>
          <w:szCs w:val="18"/>
        </w:rPr>
        <w:t>GBq</w:t>
      </w:r>
      <w:proofErr w:type="spellEnd"/>
      <w:r w:rsidRPr="00A12615">
        <w:rPr>
          <w:color w:val="000000" w:themeColor="text1"/>
          <w:sz w:val="18"/>
          <w:szCs w:val="18"/>
        </w:rPr>
        <w:t xml:space="preserve"> of PLUVICTO results in a radiation-absorbed dose to the testes within the range where PLUVICTO may cause temporary or permanent infertility.</w:t>
      </w:r>
    </w:p>
    <w:p w:rsidR="00317C0A" w:rsidP="00317C0A" w:rsidRDefault="00317C0A" w14:paraId="0C85322F" w14:textId="77777777">
      <w:pPr>
        <w:spacing w:line="276" w:lineRule="auto"/>
        <w:rPr>
          <w:b/>
          <w:bCs/>
          <w:color w:val="3978C0"/>
          <w:sz w:val="18"/>
          <w:szCs w:val="18"/>
        </w:rPr>
      </w:pPr>
    </w:p>
    <w:p w:rsidRPr="00382162" w:rsidR="00317C0A" w:rsidP="00317C0A" w:rsidRDefault="00317C0A" w14:paraId="6CE2FE94" w14:textId="77777777">
      <w:pPr>
        <w:spacing w:line="276" w:lineRule="auto"/>
        <w:rPr>
          <w:b/>
          <w:bCs/>
          <w:color w:val="3978C0"/>
          <w:sz w:val="18"/>
          <w:szCs w:val="18"/>
        </w:rPr>
      </w:pPr>
      <w:r w:rsidRPr="00A12615">
        <w:rPr>
          <w:b/>
          <w:bCs/>
          <w:color w:val="3978C0"/>
          <w:sz w:val="18"/>
          <w:szCs w:val="18"/>
        </w:rPr>
        <w:t>Adverse Reactions and Laboratory Abnormalities</w:t>
      </w:r>
    </w:p>
    <w:p w:rsidR="00317C0A" w:rsidP="00317C0A" w:rsidRDefault="00317C0A" w14:paraId="5B4D54DF" w14:textId="77777777">
      <w:pPr>
        <w:spacing w:line="276" w:lineRule="auto"/>
        <w:rPr>
          <w:color w:val="000000" w:themeColor="text1"/>
          <w:sz w:val="18"/>
          <w:szCs w:val="18"/>
          <w:lang w:eastAsia="ko-KR"/>
        </w:rPr>
      </w:pPr>
      <w:r w:rsidRPr="00A12615">
        <w:rPr>
          <w:color w:val="000000" w:themeColor="text1"/>
          <w:sz w:val="18"/>
          <w:szCs w:val="18"/>
        </w:rPr>
        <w:t xml:space="preserve">In the pooled safety population for the </w:t>
      </w:r>
      <w:proofErr w:type="spellStart"/>
      <w:r w:rsidRPr="00A12615">
        <w:rPr>
          <w:color w:val="000000" w:themeColor="text1"/>
          <w:sz w:val="18"/>
          <w:szCs w:val="18"/>
        </w:rPr>
        <w:t>PSMAfore</w:t>
      </w:r>
      <w:proofErr w:type="spellEnd"/>
      <w:r w:rsidRPr="00A12615">
        <w:rPr>
          <w:color w:val="000000" w:themeColor="text1"/>
          <w:sz w:val="18"/>
          <w:szCs w:val="18"/>
        </w:rPr>
        <w:t xml:space="preserve"> and VISION studies (N=756), the most common (≥20%) adverse reactions,</w:t>
      </w:r>
      <w:r w:rsidRPr="00A12615">
        <w:rPr>
          <w:rFonts w:hint="eastAsia"/>
          <w:color w:val="000000" w:themeColor="text1"/>
          <w:sz w:val="18"/>
          <w:szCs w:val="18"/>
          <w:lang w:eastAsia="ko-KR"/>
        </w:rPr>
        <w:t xml:space="preserve"> </w:t>
      </w:r>
      <w:r w:rsidRPr="00A12615">
        <w:rPr>
          <w:color w:val="000000" w:themeColor="text1"/>
          <w:sz w:val="18"/>
          <w:szCs w:val="18"/>
        </w:rPr>
        <w:t>including laboratory abnormalities, were decreased lymphocytes (83%), decreased hemoglobin (65%), fatigue (49%), dry mouth (46%), decreased platelets (40%), decreased estimated glomerular filtration rate (37%), nausea (35%), decreased neutrophils (31%), decreased calcium (29%), decreased sodium (27%), increased aspartate aminotransferase (26%), increased alkaline phosphatase (24%),</w:t>
      </w:r>
      <w:r w:rsidRPr="00A12615" w:rsidDel="006C3DA9">
        <w:rPr>
          <w:color w:val="000000" w:themeColor="text1"/>
          <w:sz w:val="18"/>
          <w:szCs w:val="18"/>
          <w:lang w:eastAsia="ko-KR"/>
        </w:rPr>
        <w:t xml:space="preserve"> arthralgia (22%),</w:t>
      </w:r>
      <w:r w:rsidRPr="00A12615">
        <w:rPr>
          <w:color w:val="000000" w:themeColor="text1"/>
          <w:sz w:val="18"/>
          <w:szCs w:val="18"/>
        </w:rPr>
        <w:t xml:space="preserve"> decreased appetite (21%), increased potassium (21%), constipation (21%),</w:t>
      </w:r>
      <w:r w:rsidRPr="00A12615" w:rsidDel="006C3DA9">
        <w:rPr>
          <w:color w:val="000000" w:themeColor="text1"/>
          <w:sz w:val="18"/>
          <w:szCs w:val="18"/>
          <w:lang w:eastAsia="ko-KR"/>
        </w:rPr>
        <w:t xml:space="preserve"> and back </w:t>
      </w:r>
    </w:p>
    <w:p w:rsidRPr="00A12615" w:rsidR="00317C0A" w:rsidP="00317C0A" w:rsidRDefault="00317C0A" w14:paraId="40BDD870" w14:textId="77777777">
      <w:pPr>
        <w:spacing w:line="276" w:lineRule="auto"/>
        <w:rPr>
          <w:color w:val="000000" w:themeColor="text1"/>
          <w:sz w:val="18"/>
          <w:szCs w:val="18"/>
        </w:rPr>
      </w:pPr>
      <w:r w:rsidRPr="00A12615" w:rsidDel="006C3DA9">
        <w:rPr>
          <w:color w:val="000000" w:themeColor="text1"/>
          <w:sz w:val="18"/>
          <w:szCs w:val="18"/>
          <w:lang w:eastAsia="ko-KR"/>
        </w:rPr>
        <w:t>pain (21%)</w:t>
      </w:r>
      <w:r w:rsidRPr="00A12615">
        <w:rPr>
          <w:rFonts w:hint="eastAsia"/>
          <w:color w:val="000000" w:themeColor="text1"/>
          <w:sz w:val="18"/>
          <w:szCs w:val="18"/>
          <w:lang w:eastAsia="ko-KR"/>
        </w:rPr>
        <w:t>.</w:t>
      </w:r>
    </w:p>
    <w:p w:rsidR="00317C0A" w:rsidP="00317C0A" w:rsidRDefault="00317C0A" w14:paraId="4E2509F8" w14:textId="77777777">
      <w:pPr>
        <w:spacing w:line="276" w:lineRule="auto"/>
        <w:rPr>
          <w:b/>
          <w:bCs/>
          <w:color w:val="000000" w:themeColor="text1"/>
          <w:sz w:val="18"/>
          <w:szCs w:val="18"/>
        </w:rPr>
      </w:pPr>
    </w:p>
    <w:p w:rsidR="00F864A5" w:rsidP="00317C0A" w:rsidRDefault="00317C0A" w14:paraId="7C5AFFCE" w14:textId="7DFC3B4B">
      <w:pPr>
        <w:pStyle w:val="BodyText"/>
        <w:spacing w:before="36" w:line="256" w:lineRule="auto"/>
        <w:ind w:left="0" w:right="178"/>
        <w:rPr>
          <w:color w:val="171516"/>
        </w:rPr>
      </w:pPr>
      <w:r w:rsidRPr="00A12615">
        <w:rPr>
          <w:b/>
          <w:bCs/>
          <w:color w:val="000000" w:themeColor="text1"/>
          <w:sz w:val="18"/>
          <w:szCs w:val="18"/>
        </w:rPr>
        <w:t>Please see full </w:t>
      </w:r>
      <w:hyperlink w:tgtFrame="_blank" w:history="1" r:id="rId10">
        <w:r w:rsidRPr="00A12615">
          <w:rPr>
            <w:rStyle w:val="Hyperlink"/>
            <w:b/>
            <w:bCs/>
            <w:color w:val="000000" w:themeColor="text1"/>
            <w:sz w:val="18"/>
            <w:szCs w:val="18"/>
          </w:rPr>
          <w:t>Prescribing Information</w:t>
        </w:r>
      </w:hyperlink>
      <w:r w:rsidRPr="00A12615">
        <w:rPr>
          <w:b/>
          <w:bCs/>
          <w:color w:val="000000" w:themeColor="text1"/>
          <w:sz w:val="18"/>
          <w:szCs w:val="18"/>
        </w:rPr>
        <w:t>.</w:t>
      </w:r>
    </w:p>
    <w:p w:rsidR="00F864A5" w:rsidP="00321A4F" w:rsidRDefault="00F864A5" w14:paraId="0F60504C" w14:textId="77777777">
      <w:pPr>
        <w:pStyle w:val="BodyText"/>
        <w:spacing w:before="36" w:line="256" w:lineRule="auto"/>
        <w:ind w:left="0" w:right="178"/>
        <w:rPr>
          <w:color w:val="171516"/>
        </w:rPr>
      </w:pPr>
    </w:p>
    <w:p w:rsidR="00F864A5" w:rsidP="00321A4F" w:rsidRDefault="00F864A5" w14:paraId="655C17FB" w14:textId="77777777">
      <w:pPr>
        <w:pStyle w:val="BodyText"/>
        <w:spacing w:before="36" w:line="256" w:lineRule="auto"/>
        <w:ind w:left="0" w:right="178"/>
        <w:rPr>
          <w:color w:val="171516"/>
        </w:rPr>
      </w:pPr>
    </w:p>
    <w:p w:rsidR="00F864A5" w:rsidP="00321A4F" w:rsidRDefault="00F864A5" w14:paraId="3619790F" w14:textId="77777777">
      <w:pPr>
        <w:pStyle w:val="BodyText"/>
        <w:spacing w:before="36" w:line="256" w:lineRule="auto"/>
        <w:ind w:left="0" w:right="178"/>
        <w:rPr>
          <w:color w:val="171516"/>
        </w:rPr>
      </w:pPr>
    </w:p>
    <w:p w:rsidR="00F864A5" w:rsidP="00321A4F" w:rsidRDefault="00F864A5" w14:paraId="3ACD5382" w14:textId="15E405A5">
      <w:pPr>
        <w:pStyle w:val="BodyText"/>
        <w:spacing w:before="36" w:line="256" w:lineRule="auto"/>
        <w:ind w:left="0" w:right="178"/>
        <w:rPr>
          <w:color w:val="171516"/>
        </w:rPr>
      </w:pPr>
    </w:p>
    <w:p w:rsidR="00F864A5" w:rsidP="00321A4F" w:rsidRDefault="00F864A5" w14:paraId="6D689232" w14:textId="69819D86">
      <w:pPr>
        <w:pStyle w:val="BodyText"/>
        <w:spacing w:before="36" w:line="256" w:lineRule="auto"/>
        <w:ind w:left="0" w:right="178"/>
        <w:rPr>
          <w:color w:val="171516"/>
        </w:rPr>
      </w:pPr>
    </w:p>
    <w:p w:rsidR="00EB37B5" w:rsidP="00321A4F" w:rsidRDefault="00EB37B5" w14:paraId="2AF96722" w14:textId="77777777">
      <w:pPr>
        <w:pStyle w:val="BodyText"/>
        <w:spacing w:before="36" w:line="256" w:lineRule="auto"/>
        <w:ind w:left="0" w:right="178"/>
        <w:rPr>
          <w:color w:val="171516"/>
        </w:rPr>
      </w:pPr>
    </w:p>
    <w:p w:rsidR="00317C0A" w:rsidP="00321A4F" w:rsidRDefault="00317C0A" w14:paraId="129F6BB7" w14:textId="77777777">
      <w:pPr>
        <w:pStyle w:val="BodyText"/>
        <w:spacing w:before="36" w:line="256" w:lineRule="auto"/>
        <w:ind w:left="0" w:right="178"/>
        <w:rPr>
          <w:color w:val="171516"/>
        </w:rPr>
      </w:pPr>
    </w:p>
    <w:p w:rsidR="00DA3438" w:rsidP="00321A4F" w:rsidRDefault="00DA3438" w14:paraId="155459DC" w14:textId="739EE570">
      <w:pPr>
        <w:pStyle w:val="BodyText"/>
        <w:spacing w:before="36" w:line="256" w:lineRule="auto"/>
        <w:ind w:left="0" w:right="178"/>
        <w:rPr>
          <w:color w:val="171516"/>
        </w:rPr>
      </w:pPr>
      <w:r w:rsidRPr="000F4D2F">
        <w:rPr>
          <w:rFonts w:cs="Arial"/>
          <w:noProof/>
        </w:rPr>
        <w:drawing>
          <wp:anchor distT="0" distB="0" distL="114300" distR="114300" simplePos="0" relativeHeight="251659264" behindDoc="1" locked="0" layoutInCell="1" allowOverlap="1" wp14:anchorId="7511F3FB" wp14:editId="6C88C7E6">
            <wp:simplePos x="0" y="0"/>
            <wp:positionH relativeFrom="column">
              <wp:posOffset>-390826</wp:posOffset>
            </wp:positionH>
            <wp:positionV relativeFrom="paragraph">
              <wp:posOffset>259884</wp:posOffset>
            </wp:positionV>
            <wp:extent cx="1670233" cy="281105"/>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preferRelativeResize="0">
                      <a:picLocks noChangeAspect="1"/>
                    </pic:cNvPicPr>
                  </pic:nvPicPr>
                  <pic:blipFill rotWithShape="1">
                    <a:blip r:embed="rId11"/>
                    <a:srcRect r="50439"/>
                    <a:stretch/>
                  </pic:blipFill>
                  <pic:spPr bwMode="auto">
                    <a:xfrm>
                      <a:off x="0" y="0"/>
                      <a:ext cx="1670233" cy="28110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A3438" w:rsidP="00321A4F" w:rsidRDefault="00DA3438" w14:paraId="2E82950A" w14:textId="2EAA9643">
      <w:pPr>
        <w:pStyle w:val="BodyText"/>
        <w:spacing w:before="36" w:line="256" w:lineRule="auto"/>
        <w:ind w:left="0" w:right="178"/>
        <w:rPr>
          <w:color w:val="171516"/>
        </w:rPr>
      </w:pPr>
    </w:p>
    <w:p w:rsidR="00DA3438" w:rsidP="00321A4F" w:rsidRDefault="00DA3438" w14:paraId="02EC3B67" w14:textId="77777777">
      <w:pPr>
        <w:pStyle w:val="BodyText"/>
        <w:spacing w:before="36" w:line="256" w:lineRule="auto"/>
        <w:ind w:left="0" w:right="178"/>
        <w:rPr>
          <w:color w:val="171516"/>
        </w:rPr>
      </w:pPr>
    </w:p>
    <w:p w:rsidR="00012F8E" w:rsidP="00321A4F" w:rsidRDefault="00012F8E" w14:paraId="58DF593D" w14:textId="77777777">
      <w:pPr>
        <w:pStyle w:val="BodyText"/>
        <w:spacing w:before="36" w:line="256" w:lineRule="auto"/>
        <w:ind w:left="0" w:right="178"/>
        <w:rPr>
          <w:b/>
          <w:bCs/>
          <w:color w:val="171516"/>
        </w:rPr>
      </w:pPr>
    </w:p>
    <w:p w:rsidRPr="00081D07" w:rsidR="00955E56" w:rsidP="00321A4F" w:rsidRDefault="00955E56" w14:paraId="264F8522" w14:textId="41258EAD">
      <w:pPr>
        <w:pStyle w:val="BodyText"/>
        <w:spacing w:before="36" w:line="256" w:lineRule="auto"/>
        <w:ind w:left="0" w:right="178"/>
        <w:rPr>
          <w:b/>
          <w:bCs/>
          <w:color w:val="171516"/>
        </w:rPr>
      </w:pPr>
      <w:r w:rsidRPr="00081D07">
        <w:rPr>
          <w:b/>
          <w:bCs/>
          <w:color w:val="171516"/>
        </w:rPr>
        <w:t xml:space="preserve">Novartis </w:t>
      </w:r>
      <w:r w:rsidRPr="00081D07" w:rsidR="00081D07">
        <w:rPr>
          <w:b/>
          <w:bCs/>
          <w:color w:val="171516"/>
        </w:rPr>
        <w:t>Pharmaceuticals</w:t>
      </w:r>
      <w:r w:rsidRPr="00081D07">
        <w:rPr>
          <w:b/>
          <w:bCs/>
          <w:color w:val="171516"/>
        </w:rPr>
        <w:t xml:space="preserve"> Corporation</w:t>
      </w:r>
    </w:p>
    <w:p w:rsidRPr="00BB63B1" w:rsidR="00955E56" w:rsidP="00321A4F" w:rsidRDefault="00955E56" w14:paraId="527920C0" w14:textId="173A97E9">
      <w:pPr>
        <w:pStyle w:val="BodyText"/>
        <w:spacing w:before="36" w:line="256" w:lineRule="auto"/>
        <w:ind w:left="0" w:right="178"/>
        <w:rPr>
          <w:color w:val="171516"/>
        </w:rPr>
      </w:pPr>
      <w:r>
        <w:rPr>
          <w:color w:val="171516"/>
        </w:rPr>
        <w:t>East Hanover, New Jersey 079</w:t>
      </w:r>
      <w:r w:rsidR="00081D07">
        <w:rPr>
          <w:color w:val="171516"/>
        </w:rPr>
        <w:t>36-1080</w:t>
      </w:r>
      <w:r w:rsidR="00081D07">
        <w:rPr>
          <w:color w:val="171516"/>
        </w:rPr>
        <w:tab/>
      </w:r>
      <w:r w:rsidR="00081D07">
        <w:rPr>
          <w:color w:val="171516"/>
        </w:rPr>
        <w:tab/>
      </w:r>
      <w:r w:rsidRPr="00081D07" w:rsidR="00081D07">
        <w:rPr>
          <w:color w:val="171516"/>
        </w:rPr>
        <w:t>© 202</w:t>
      </w:r>
      <w:r w:rsidR="00E77ECE">
        <w:rPr>
          <w:color w:val="171516"/>
        </w:rPr>
        <w:t>5</w:t>
      </w:r>
      <w:r w:rsidRPr="00081D07" w:rsidR="00081D07">
        <w:rPr>
          <w:color w:val="171516"/>
        </w:rPr>
        <w:t xml:space="preserve"> Novartis </w:t>
      </w:r>
      <w:r w:rsidR="00081D07">
        <w:rPr>
          <w:color w:val="171516"/>
        </w:rPr>
        <w:tab/>
      </w:r>
      <w:r w:rsidR="00EB78FE">
        <w:rPr>
          <w:color w:val="171516"/>
        </w:rPr>
        <w:t xml:space="preserve">         </w:t>
      </w:r>
      <w:r w:rsidR="004A4EEE">
        <w:rPr>
          <w:color w:val="171516"/>
        </w:rPr>
        <w:t>3</w:t>
      </w:r>
      <w:r w:rsidRPr="00081D07" w:rsidR="00081D07">
        <w:rPr>
          <w:color w:val="171516"/>
        </w:rPr>
        <w:t>/2</w:t>
      </w:r>
      <w:r w:rsidR="00E77ECE">
        <w:rPr>
          <w:color w:val="171516"/>
        </w:rPr>
        <w:t>5</w:t>
      </w:r>
      <w:r w:rsidR="00081D07">
        <w:rPr>
          <w:color w:val="171516"/>
        </w:rPr>
        <w:t xml:space="preserve">     </w:t>
      </w:r>
      <w:r w:rsidR="00EB78FE">
        <w:rPr>
          <w:color w:val="171516"/>
        </w:rPr>
        <w:t xml:space="preserve">           </w:t>
      </w:r>
      <w:r w:rsidRPr="00637F69" w:rsidR="00637F69">
        <w:rPr>
          <w:color w:val="171516"/>
        </w:rPr>
        <w:t>FA-</w:t>
      </w:r>
      <w:r w:rsidRPr="00D66659" w:rsidR="00D66659">
        <w:rPr>
          <w:color w:val="171516"/>
        </w:rPr>
        <w:t>11352702</w:t>
      </w:r>
    </w:p>
    <w:sectPr w:rsidRPr="00BB63B1" w:rsidR="00955E56" w:rsidSect="005B29FF">
      <w:footerReference w:type="default" r:id="rId12"/>
      <w:pgSz w:w="12240" w:h="15840" w:orient="portrait"/>
      <w:pgMar w:top="696" w:right="1320" w:bottom="1239"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5105D" w:rsidRDefault="0065105D" w14:paraId="5929CFFA" w14:textId="77777777">
      <w:r>
        <w:separator/>
      </w:r>
    </w:p>
  </w:endnote>
  <w:endnote w:type="continuationSeparator" w:id="0">
    <w:p w:rsidR="0065105D" w:rsidRDefault="0065105D" w14:paraId="46246E5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D5568" w:rsidRDefault="009D5568" w14:paraId="0792F66A" w14:textId="4936521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5105D" w:rsidRDefault="0065105D" w14:paraId="774A0AC5" w14:textId="77777777">
      <w:r>
        <w:separator/>
      </w:r>
    </w:p>
  </w:footnote>
  <w:footnote w:type="continuationSeparator" w:id="0">
    <w:p w:rsidR="0065105D" w:rsidRDefault="0065105D" w14:paraId="114BE8D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24190"/>
    <w:multiLevelType w:val="hybridMultilevel"/>
    <w:tmpl w:val="036217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03D212D"/>
    <w:multiLevelType w:val="hybridMultilevel"/>
    <w:tmpl w:val="F81A8160"/>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2" w15:restartNumberingAfterBreak="0">
    <w:nsid w:val="4D5F7D82"/>
    <w:multiLevelType w:val="hybridMultilevel"/>
    <w:tmpl w:val="70028F70"/>
    <w:lvl w:ilvl="0" w:tplc="285CA906">
      <w:numFmt w:val="bullet"/>
      <w:lvlText w:val=""/>
      <w:lvlJc w:val="left"/>
      <w:pPr>
        <w:ind w:left="821" w:hanging="360"/>
      </w:pPr>
      <w:rPr>
        <w:rFonts w:hint="default" w:ascii="Symbol" w:hAnsi="Symbol" w:eastAsia="Symbol" w:cs="Symbol"/>
        <w:color w:val="FF3399"/>
        <w:w w:val="100"/>
        <w:sz w:val="22"/>
        <w:szCs w:val="22"/>
        <w:lang w:val="en-US" w:eastAsia="en-US" w:bidi="ar-SA"/>
      </w:rPr>
    </w:lvl>
    <w:lvl w:ilvl="1" w:tplc="4CD62524">
      <w:numFmt w:val="bullet"/>
      <w:lvlText w:val="•"/>
      <w:lvlJc w:val="left"/>
      <w:pPr>
        <w:ind w:left="1696" w:hanging="360"/>
      </w:pPr>
      <w:rPr>
        <w:rFonts w:hint="default"/>
        <w:lang w:val="en-US" w:eastAsia="en-US" w:bidi="ar-SA"/>
      </w:rPr>
    </w:lvl>
    <w:lvl w:ilvl="2" w:tplc="4218F190">
      <w:numFmt w:val="bullet"/>
      <w:lvlText w:val="•"/>
      <w:lvlJc w:val="left"/>
      <w:pPr>
        <w:ind w:left="2572" w:hanging="360"/>
      </w:pPr>
      <w:rPr>
        <w:rFonts w:hint="default"/>
        <w:lang w:val="en-US" w:eastAsia="en-US" w:bidi="ar-SA"/>
      </w:rPr>
    </w:lvl>
    <w:lvl w:ilvl="3" w:tplc="B596CC06">
      <w:numFmt w:val="bullet"/>
      <w:lvlText w:val="•"/>
      <w:lvlJc w:val="left"/>
      <w:pPr>
        <w:ind w:left="3448" w:hanging="360"/>
      </w:pPr>
      <w:rPr>
        <w:rFonts w:hint="default"/>
        <w:lang w:val="en-US" w:eastAsia="en-US" w:bidi="ar-SA"/>
      </w:rPr>
    </w:lvl>
    <w:lvl w:ilvl="4" w:tplc="761CAC02">
      <w:numFmt w:val="bullet"/>
      <w:lvlText w:val="•"/>
      <w:lvlJc w:val="left"/>
      <w:pPr>
        <w:ind w:left="4324" w:hanging="360"/>
      </w:pPr>
      <w:rPr>
        <w:rFonts w:hint="default"/>
        <w:lang w:val="en-US" w:eastAsia="en-US" w:bidi="ar-SA"/>
      </w:rPr>
    </w:lvl>
    <w:lvl w:ilvl="5" w:tplc="4596DD36">
      <w:numFmt w:val="bullet"/>
      <w:lvlText w:val="•"/>
      <w:lvlJc w:val="left"/>
      <w:pPr>
        <w:ind w:left="5200" w:hanging="360"/>
      </w:pPr>
      <w:rPr>
        <w:rFonts w:hint="default"/>
        <w:lang w:val="en-US" w:eastAsia="en-US" w:bidi="ar-SA"/>
      </w:rPr>
    </w:lvl>
    <w:lvl w:ilvl="6" w:tplc="0BDC59D8">
      <w:numFmt w:val="bullet"/>
      <w:lvlText w:val="•"/>
      <w:lvlJc w:val="left"/>
      <w:pPr>
        <w:ind w:left="6076" w:hanging="360"/>
      </w:pPr>
      <w:rPr>
        <w:rFonts w:hint="default"/>
        <w:lang w:val="en-US" w:eastAsia="en-US" w:bidi="ar-SA"/>
      </w:rPr>
    </w:lvl>
    <w:lvl w:ilvl="7" w:tplc="1BECAB54">
      <w:numFmt w:val="bullet"/>
      <w:lvlText w:val="•"/>
      <w:lvlJc w:val="left"/>
      <w:pPr>
        <w:ind w:left="6952" w:hanging="360"/>
      </w:pPr>
      <w:rPr>
        <w:rFonts w:hint="default"/>
        <w:lang w:val="en-US" w:eastAsia="en-US" w:bidi="ar-SA"/>
      </w:rPr>
    </w:lvl>
    <w:lvl w:ilvl="8" w:tplc="3D7E6808">
      <w:numFmt w:val="bullet"/>
      <w:lvlText w:val="•"/>
      <w:lvlJc w:val="left"/>
      <w:pPr>
        <w:ind w:left="7828" w:hanging="360"/>
      </w:pPr>
      <w:rPr>
        <w:rFonts w:hint="default"/>
        <w:lang w:val="en-US" w:eastAsia="en-US" w:bidi="ar-SA"/>
      </w:rPr>
    </w:lvl>
  </w:abstractNum>
  <w:abstractNum w:abstractNumId="3" w15:restartNumberingAfterBreak="0">
    <w:nsid w:val="514A3F85"/>
    <w:multiLevelType w:val="hybridMultilevel"/>
    <w:tmpl w:val="1C50A92A"/>
    <w:lvl w:ilvl="0" w:tplc="04090001">
      <w:start w:val="1"/>
      <w:numFmt w:val="bullet"/>
      <w:lvlText w:val=""/>
      <w:lvlJc w:val="left"/>
      <w:pPr>
        <w:ind w:left="820" w:hanging="360"/>
      </w:pPr>
      <w:rPr>
        <w:rFonts w:hint="default" w:ascii="Symbol" w:hAnsi="Symbol"/>
      </w:rPr>
    </w:lvl>
    <w:lvl w:ilvl="1" w:tplc="04090003" w:tentative="1">
      <w:start w:val="1"/>
      <w:numFmt w:val="bullet"/>
      <w:lvlText w:val="o"/>
      <w:lvlJc w:val="left"/>
      <w:pPr>
        <w:ind w:left="1540" w:hanging="360"/>
      </w:pPr>
      <w:rPr>
        <w:rFonts w:hint="default" w:ascii="Courier New" w:hAnsi="Courier New" w:cs="Courier New"/>
      </w:rPr>
    </w:lvl>
    <w:lvl w:ilvl="2" w:tplc="04090005" w:tentative="1">
      <w:start w:val="1"/>
      <w:numFmt w:val="bullet"/>
      <w:lvlText w:val=""/>
      <w:lvlJc w:val="left"/>
      <w:pPr>
        <w:ind w:left="2260" w:hanging="360"/>
      </w:pPr>
      <w:rPr>
        <w:rFonts w:hint="default" w:ascii="Wingdings" w:hAnsi="Wingdings"/>
      </w:rPr>
    </w:lvl>
    <w:lvl w:ilvl="3" w:tplc="04090001" w:tentative="1">
      <w:start w:val="1"/>
      <w:numFmt w:val="bullet"/>
      <w:lvlText w:val=""/>
      <w:lvlJc w:val="left"/>
      <w:pPr>
        <w:ind w:left="2980" w:hanging="360"/>
      </w:pPr>
      <w:rPr>
        <w:rFonts w:hint="default" w:ascii="Symbol" w:hAnsi="Symbol"/>
      </w:rPr>
    </w:lvl>
    <w:lvl w:ilvl="4" w:tplc="04090003" w:tentative="1">
      <w:start w:val="1"/>
      <w:numFmt w:val="bullet"/>
      <w:lvlText w:val="o"/>
      <w:lvlJc w:val="left"/>
      <w:pPr>
        <w:ind w:left="3700" w:hanging="360"/>
      </w:pPr>
      <w:rPr>
        <w:rFonts w:hint="default" w:ascii="Courier New" w:hAnsi="Courier New" w:cs="Courier New"/>
      </w:rPr>
    </w:lvl>
    <w:lvl w:ilvl="5" w:tplc="04090005" w:tentative="1">
      <w:start w:val="1"/>
      <w:numFmt w:val="bullet"/>
      <w:lvlText w:val=""/>
      <w:lvlJc w:val="left"/>
      <w:pPr>
        <w:ind w:left="4420" w:hanging="360"/>
      </w:pPr>
      <w:rPr>
        <w:rFonts w:hint="default" w:ascii="Wingdings" w:hAnsi="Wingdings"/>
      </w:rPr>
    </w:lvl>
    <w:lvl w:ilvl="6" w:tplc="04090001" w:tentative="1">
      <w:start w:val="1"/>
      <w:numFmt w:val="bullet"/>
      <w:lvlText w:val=""/>
      <w:lvlJc w:val="left"/>
      <w:pPr>
        <w:ind w:left="5140" w:hanging="360"/>
      </w:pPr>
      <w:rPr>
        <w:rFonts w:hint="default" w:ascii="Symbol" w:hAnsi="Symbol"/>
      </w:rPr>
    </w:lvl>
    <w:lvl w:ilvl="7" w:tplc="04090003" w:tentative="1">
      <w:start w:val="1"/>
      <w:numFmt w:val="bullet"/>
      <w:lvlText w:val="o"/>
      <w:lvlJc w:val="left"/>
      <w:pPr>
        <w:ind w:left="5860" w:hanging="360"/>
      </w:pPr>
      <w:rPr>
        <w:rFonts w:hint="default" w:ascii="Courier New" w:hAnsi="Courier New" w:cs="Courier New"/>
      </w:rPr>
    </w:lvl>
    <w:lvl w:ilvl="8" w:tplc="04090005" w:tentative="1">
      <w:start w:val="1"/>
      <w:numFmt w:val="bullet"/>
      <w:lvlText w:val=""/>
      <w:lvlJc w:val="left"/>
      <w:pPr>
        <w:ind w:left="6580" w:hanging="360"/>
      </w:pPr>
      <w:rPr>
        <w:rFonts w:hint="default" w:ascii="Wingdings" w:hAnsi="Wingdings"/>
      </w:rPr>
    </w:lvl>
  </w:abstractNum>
  <w:abstractNum w:abstractNumId="4" w15:restartNumberingAfterBreak="0">
    <w:nsid w:val="5836515F"/>
    <w:multiLevelType w:val="hybridMultilevel"/>
    <w:tmpl w:val="EFC04C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64584031">
    <w:abstractNumId w:val="2"/>
  </w:num>
  <w:num w:numId="2" w16cid:durableId="252202664">
    <w:abstractNumId w:val="1"/>
  </w:num>
  <w:num w:numId="3" w16cid:durableId="2145729738">
    <w:abstractNumId w:val="3"/>
  </w:num>
  <w:num w:numId="4" w16cid:durableId="1052536200">
    <w:abstractNumId w:val="4"/>
  </w:num>
  <w:num w:numId="5" w16cid:durableId="209501199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68"/>
    <w:rsid w:val="00012F8E"/>
    <w:rsid w:val="0002254D"/>
    <w:rsid w:val="00081D07"/>
    <w:rsid w:val="000A28D8"/>
    <w:rsid w:val="000F1040"/>
    <w:rsid w:val="00105D96"/>
    <w:rsid w:val="001A766C"/>
    <w:rsid w:val="001F05E1"/>
    <w:rsid w:val="002047A0"/>
    <w:rsid w:val="00256A20"/>
    <w:rsid w:val="00281AA1"/>
    <w:rsid w:val="002B3D3F"/>
    <w:rsid w:val="002C60A7"/>
    <w:rsid w:val="002C6FC0"/>
    <w:rsid w:val="002D486A"/>
    <w:rsid w:val="002D57DA"/>
    <w:rsid w:val="002F47E6"/>
    <w:rsid w:val="00317C0A"/>
    <w:rsid w:val="00321A4F"/>
    <w:rsid w:val="00385D46"/>
    <w:rsid w:val="00392116"/>
    <w:rsid w:val="003C600C"/>
    <w:rsid w:val="003C7FB8"/>
    <w:rsid w:val="003E060C"/>
    <w:rsid w:val="004350E6"/>
    <w:rsid w:val="004557AF"/>
    <w:rsid w:val="004832F9"/>
    <w:rsid w:val="00486163"/>
    <w:rsid w:val="00490290"/>
    <w:rsid w:val="004904EB"/>
    <w:rsid w:val="004A4EEE"/>
    <w:rsid w:val="005002F4"/>
    <w:rsid w:val="00505431"/>
    <w:rsid w:val="0054476D"/>
    <w:rsid w:val="00592C11"/>
    <w:rsid w:val="005B29FF"/>
    <w:rsid w:val="005E1A50"/>
    <w:rsid w:val="005E45F8"/>
    <w:rsid w:val="00637F69"/>
    <w:rsid w:val="0064321B"/>
    <w:rsid w:val="0065105D"/>
    <w:rsid w:val="00660180"/>
    <w:rsid w:val="00694BC8"/>
    <w:rsid w:val="006B2E5D"/>
    <w:rsid w:val="0070554B"/>
    <w:rsid w:val="00760BF8"/>
    <w:rsid w:val="00785966"/>
    <w:rsid w:val="007A3411"/>
    <w:rsid w:val="007D7564"/>
    <w:rsid w:val="008010E1"/>
    <w:rsid w:val="00815A78"/>
    <w:rsid w:val="0082625E"/>
    <w:rsid w:val="008351DE"/>
    <w:rsid w:val="00837ADF"/>
    <w:rsid w:val="00854624"/>
    <w:rsid w:val="008C4916"/>
    <w:rsid w:val="008D6C72"/>
    <w:rsid w:val="008E47C8"/>
    <w:rsid w:val="0093238D"/>
    <w:rsid w:val="00955E56"/>
    <w:rsid w:val="009731F3"/>
    <w:rsid w:val="009804F8"/>
    <w:rsid w:val="009C29AE"/>
    <w:rsid w:val="009D1372"/>
    <w:rsid w:val="009D5568"/>
    <w:rsid w:val="009D701E"/>
    <w:rsid w:val="00A00722"/>
    <w:rsid w:val="00A36A37"/>
    <w:rsid w:val="00A91E0A"/>
    <w:rsid w:val="00AA6AC1"/>
    <w:rsid w:val="00AD5168"/>
    <w:rsid w:val="00B42521"/>
    <w:rsid w:val="00B54D71"/>
    <w:rsid w:val="00B64B6D"/>
    <w:rsid w:val="00B73027"/>
    <w:rsid w:val="00B7784D"/>
    <w:rsid w:val="00B838EE"/>
    <w:rsid w:val="00BB3633"/>
    <w:rsid w:val="00BB4879"/>
    <w:rsid w:val="00BB63B1"/>
    <w:rsid w:val="00BE206B"/>
    <w:rsid w:val="00BE3D97"/>
    <w:rsid w:val="00BF2EE9"/>
    <w:rsid w:val="00C42CE3"/>
    <w:rsid w:val="00C43E08"/>
    <w:rsid w:val="00C958BE"/>
    <w:rsid w:val="00CA3B36"/>
    <w:rsid w:val="00CA7387"/>
    <w:rsid w:val="00CB3F4E"/>
    <w:rsid w:val="00D02D2C"/>
    <w:rsid w:val="00D17293"/>
    <w:rsid w:val="00D17E28"/>
    <w:rsid w:val="00D66659"/>
    <w:rsid w:val="00D815DE"/>
    <w:rsid w:val="00D86795"/>
    <w:rsid w:val="00D876E1"/>
    <w:rsid w:val="00DA3438"/>
    <w:rsid w:val="00DB699B"/>
    <w:rsid w:val="00DD06ED"/>
    <w:rsid w:val="00DE7E86"/>
    <w:rsid w:val="00DF2BA7"/>
    <w:rsid w:val="00DF5A82"/>
    <w:rsid w:val="00E25E09"/>
    <w:rsid w:val="00E46222"/>
    <w:rsid w:val="00E77ECE"/>
    <w:rsid w:val="00E83C4E"/>
    <w:rsid w:val="00E94E90"/>
    <w:rsid w:val="00EA4344"/>
    <w:rsid w:val="00EB37B5"/>
    <w:rsid w:val="00EB78FE"/>
    <w:rsid w:val="00F03E9F"/>
    <w:rsid w:val="00F1297E"/>
    <w:rsid w:val="00F279EF"/>
    <w:rsid w:val="00F51052"/>
    <w:rsid w:val="00F655AE"/>
    <w:rsid w:val="00F80BDE"/>
    <w:rsid w:val="00F82BF5"/>
    <w:rsid w:val="00F864A5"/>
    <w:rsid w:val="00FB5D67"/>
    <w:rsid w:val="00FD4C89"/>
    <w:rsid w:val="29BD0DE0"/>
    <w:rsid w:val="2BAFB20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40296"/>
  <w15:docId w15:val="{1A25E972-DF33-774E-B811-2C2B186909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rlito" w:hAnsi="Carlito" w:eastAsia="Carlito" w:cs="Carlito"/>
    </w:rPr>
  </w:style>
  <w:style w:type="paragraph" w:styleId="Heading1">
    <w:name w:val="heading 1"/>
    <w:basedOn w:val="Normal"/>
    <w:uiPriority w:val="9"/>
    <w:qFormat/>
    <w:pPr>
      <w:ind w:left="100"/>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34"/>
    <w:qFormat/>
    <w:pPr>
      <w:ind w:left="821" w:hanging="361"/>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BE3D97"/>
    <w:pPr>
      <w:tabs>
        <w:tab w:val="center" w:pos="4680"/>
        <w:tab w:val="right" w:pos="9360"/>
      </w:tabs>
    </w:pPr>
  </w:style>
  <w:style w:type="character" w:styleId="HeaderChar" w:customStyle="1">
    <w:name w:val="Header Char"/>
    <w:basedOn w:val="DefaultParagraphFont"/>
    <w:link w:val="Header"/>
    <w:uiPriority w:val="99"/>
    <w:rsid w:val="00BE3D97"/>
    <w:rPr>
      <w:rFonts w:ascii="Carlito" w:hAnsi="Carlito" w:eastAsia="Carlito" w:cs="Carlito"/>
    </w:rPr>
  </w:style>
  <w:style w:type="paragraph" w:styleId="Footer">
    <w:name w:val="footer"/>
    <w:basedOn w:val="Normal"/>
    <w:link w:val="FooterChar"/>
    <w:uiPriority w:val="99"/>
    <w:unhideWhenUsed/>
    <w:rsid w:val="00BE3D97"/>
    <w:pPr>
      <w:tabs>
        <w:tab w:val="center" w:pos="4680"/>
        <w:tab w:val="right" w:pos="9360"/>
      </w:tabs>
    </w:pPr>
  </w:style>
  <w:style w:type="character" w:styleId="FooterChar" w:customStyle="1">
    <w:name w:val="Footer Char"/>
    <w:basedOn w:val="DefaultParagraphFont"/>
    <w:link w:val="Footer"/>
    <w:uiPriority w:val="99"/>
    <w:rsid w:val="00BE3D97"/>
    <w:rPr>
      <w:rFonts w:ascii="Carlito" w:hAnsi="Carlito" w:eastAsia="Carlito" w:cs="Carlito"/>
    </w:rPr>
  </w:style>
  <w:style w:type="character" w:styleId="CommentReference">
    <w:name w:val="annotation reference"/>
    <w:basedOn w:val="DefaultParagraphFont"/>
    <w:uiPriority w:val="99"/>
    <w:semiHidden/>
    <w:unhideWhenUsed/>
    <w:rsid w:val="00E77ECE"/>
    <w:rPr>
      <w:sz w:val="16"/>
      <w:szCs w:val="16"/>
    </w:rPr>
  </w:style>
  <w:style w:type="character" w:styleId="Hyperlink">
    <w:name w:val="Hyperlink"/>
    <w:basedOn w:val="DefaultParagraphFont"/>
    <w:uiPriority w:val="99"/>
    <w:unhideWhenUsed/>
    <w:rsid w:val="00B64B6D"/>
    <w:rPr>
      <w:color w:val="0000FF" w:themeColor="hyperlink"/>
      <w:u w:val="single"/>
    </w:rPr>
  </w:style>
  <w:style w:type="character" w:styleId="UnresolvedMention">
    <w:name w:val="Unresolved Mention"/>
    <w:basedOn w:val="DefaultParagraphFont"/>
    <w:uiPriority w:val="99"/>
    <w:semiHidden/>
    <w:unhideWhenUsed/>
    <w:rsid w:val="00EA4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9711">
      <w:bodyDiv w:val="1"/>
      <w:marLeft w:val="0"/>
      <w:marRight w:val="0"/>
      <w:marTop w:val="0"/>
      <w:marBottom w:val="0"/>
      <w:divBdr>
        <w:top w:val="none" w:sz="0" w:space="0" w:color="auto"/>
        <w:left w:val="none" w:sz="0" w:space="0" w:color="auto"/>
        <w:bottom w:val="none" w:sz="0" w:space="0" w:color="auto"/>
        <w:right w:val="none" w:sz="0" w:space="0" w:color="auto"/>
      </w:divBdr>
    </w:div>
    <w:div w:id="319315276">
      <w:bodyDiv w:val="1"/>
      <w:marLeft w:val="0"/>
      <w:marRight w:val="0"/>
      <w:marTop w:val="0"/>
      <w:marBottom w:val="0"/>
      <w:divBdr>
        <w:top w:val="none" w:sz="0" w:space="0" w:color="auto"/>
        <w:left w:val="none" w:sz="0" w:space="0" w:color="auto"/>
        <w:bottom w:val="none" w:sz="0" w:space="0" w:color="auto"/>
        <w:right w:val="none" w:sz="0" w:space="0" w:color="auto"/>
      </w:divBdr>
    </w:div>
    <w:div w:id="432866634">
      <w:bodyDiv w:val="1"/>
      <w:marLeft w:val="0"/>
      <w:marRight w:val="0"/>
      <w:marTop w:val="0"/>
      <w:marBottom w:val="0"/>
      <w:divBdr>
        <w:top w:val="none" w:sz="0" w:space="0" w:color="auto"/>
        <w:left w:val="none" w:sz="0" w:space="0" w:color="auto"/>
        <w:bottom w:val="none" w:sz="0" w:space="0" w:color="auto"/>
        <w:right w:val="none" w:sz="0" w:space="0" w:color="auto"/>
      </w:divBdr>
    </w:div>
    <w:div w:id="576399442">
      <w:bodyDiv w:val="1"/>
      <w:marLeft w:val="0"/>
      <w:marRight w:val="0"/>
      <w:marTop w:val="0"/>
      <w:marBottom w:val="0"/>
      <w:divBdr>
        <w:top w:val="none" w:sz="0" w:space="0" w:color="auto"/>
        <w:left w:val="none" w:sz="0" w:space="0" w:color="auto"/>
        <w:bottom w:val="none" w:sz="0" w:space="0" w:color="auto"/>
        <w:right w:val="none" w:sz="0" w:space="0" w:color="auto"/>
      </w:divBdr>
    </w:div>
    <w:div w:id="878250221">
      <w:bodyDiv w:val="1"/>
      <w:marLeft w:val="0"/>
      <w:marRight w:val="0"/>
      <w:marTop w:val="0"/>
      <w:marBottom w:val="0"/>
      <w:divBdr>
        <w:top w:val="none" w:sz="0" w:space="0" w:color="auto"/>
        <w:left w:val="none" w:sz="0" w:space="0" w:color="auto"/>
        <w:bottom w:val="none" w:sz="0" w:space="0" w:color="auto"/>
        <w:right w:val="none" w:sz="0" w:space="0" w:color="auto"/>
      </w:divBdr>
    </w:div>
    <w:div w:id="1353846114">
      <w:bodyDiv w:val="1"/>
      <w:marLeft w:val="0"/>
      <w:marRight w:val="0"/>
      <w:marTop w:val="0"/>
      <w:marBottom w:val="0"/>
      <w:divBdr>
        <w:top w:val="none" w:sz="0" w:space="0" w:color="auto"/>
        <w:left w:val="none" w:sz="0" w:space="0" w:color="auto"/>
        <w:bottom w:val="none" w:sz="0" w:space="0" w:color="auto"/>
        <w:right w:val="none" w:sz="0" w:space="0" w:color="auto"/>
      </w:divBdr>
    </w:div>
    <w:div w:id="1374043251">
      <w:bodyDiv w:val="1"/>
      <w:marLeft w:val="0"/>
      <w:marRight w:val="0"/>
      <w:marTop w:val="0"/>
      <w:marBottom w:val="0"/>
      <w:divBdr>
        <w:top w:val="none" w:sz="0" w:space="0" w:color="auto"/>
        <w:left w:val="none" w:sz="0" w:space="0" w:color="auto"/>
        <w:bottom w:val="none" w:sz="0" w:space="0" w:color="auto"/>
        <w:right w:val="none" w:sz="0" w:space="0" w:color="auto"/>
      </w:divBdr>
    </w:div>
    <w:div w:id="1428230088">
      <w:bodyDiv w:val="1"/>
      <w:marLeft w:val="0"/>
      <w:marRight w:val="0"/>
      <w:marTop w:val="0"/>
      <w:marBottom w:val="0"/>
      <w:divBdr>
        <w:top w:val="none" w:sz="0" w:space="0" w:color="auto"/>
        <w:left w:val="none" w:sz="0" w:space="0" w:color="auto"/>
        <w:bottom w:val="none" w:sz="0" w:space="0" w:color="auto"/>
        <w:right w:val="none" w:sz="0" w:space="0" w:color="auto"/>
      </w:divBdr>
    </w:div>
    <w:div w:id="1554808778">
      <w:bodyDiv w:val="1"/>
      <w:marLeft w:val="0"/>
      <w:marRight w:val="0"/>
      <w:marTop w:val="0"/>
      <w:marBottom w:val="0"/>
      <w:divBdr>
        <w:top w:val="none" w:sz="0" w:space="0" w:color="auto"/>
        <w:left w:val="none" w:sz="0" w:space="0" w:color="auto"/>
        <w:bottom w:val="none" w:sz="0" w:space="0" w:color="auto"/>
        <w:right w:val="none" w:sz="0" w:space="0" w:color="auto"/>
      </w:divBdr>
    </w:div>
    <w:div w:id="1662000380">
      <w:bodyDiv w:val="1"/>
      <w:marLeft w:val="0"/>
      <w:marRight w:val="0"/>
      <w:marTop w:val="0"/>
      <w:marBottom w:val="0"/>
      <w:divBdr>
        <w:top w:val="none" w:sz="0" w:space="0" w:color="auto"/>
        <w:left w:val="none" w:sz="0" w:space="0" w:color="auto"/>
        <w:bottom w:val="none" w:sz="0" w:space="0" w:color="auto"/>
        <w:right w:val="none" w:sz="0" w:space="0" w:color="auto"/>
      </w:divBdr>
    </w:div>
    <w:div w:id="202558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hyperlink" Target="https://www.novartis.com/us-en/sites/novartis_us/files/pluvicto.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edf3f41-cca4-4dd1-86ed-2736792af8f4">
      <UserInfo>
        <DisplayName/>
        <AccountId xsi:nil="true"/>
        <AccountType/>
      </UserInfo>
    </SharedWithUsers>
    <TaxCatchAll xmlns="cedf3f41-cca4-4dd1-86ed-2736792af8f4" xsi:nil="true"/>
    <lcf76f155ced4ddcb4097134ff3c332f xmlns="5a63d01a-f10d-40a9-9e83-dbf9445690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D4569B5B44A4EAC9C5B9C969C5B5A" ma:contentTypeVersion="15" ma:contentTypeDescription="Create a new document." ma:contentTypeScope="" ma:versionID="c2a8293bcec4930da147cb162f63df92">
  <xsd:schema xmlns:xsd="http://www.w3.org/2001/XMLSchema" xmlns:xs="http://www.w3.org/2001/XMLSchema" xmlns:p="http://schemas.microsoft.com/office/2006/metadata/properties" xmlns:ns2="cedf3f41-cca4-4dd1-86ed-2736792af8f4" xmlns:ns3="5a63d01a-f10d-40a9-9e83-dbf944569016" targetNamespace="http://schemas.microsoft.com/office/2006/metadata/properties" ma:root="true" ma:fieldsID="b1c3c89c136c55f659ae3490524ce1a0" ns2:_="" ns3:_="">
    <xsd:import namespace="cedf3f41-cca4-4dd1-86ed-2736792af8f4"/>
    <xsd:import namespace="5a63d01a-f10d-40a9-9e83-dbf9445690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f3f41-cca4-4dd1-86ed-2736792af8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be64f9-6714-4b71-affc-8bd4a52cd97b}" ma:internalName="TaxCatchAll" ma:showField="CatchAllData" ma:web="cedf3f41-cca4-4dd1-86ed-2736792af8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3d01a-f10d-40a9-9e83-dbf944569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7bc47b-3997-4ccb-824d-08e9c3bde3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66121-E089-4420-845D-C0FA2A510636}">
  <ds:schemaRefs>
    <ds:schemaRef ds:uri="http://schemas.microsoft.com/office/2006/metadata/properties"/>
    <ds:schemaRef ds:uri="http://schemas.microsoft.com/office/infopath/2007/PartnerControls"/>
    <ds:schemaRef ds:uri="077c47ee-92b4-488f-abf0-bff22b0eae17"/>
  </ds:schemaRefs>
</ds:datastoreItem>
</file>

<file path=customXml/itemProps2.xml><?xml version="1.0" encoding="utf-8"?>
<ds:datastoreItem xmlns:ds="http://schemas.openxmlformats.org/officeDocument/2006/customXml" ds:itemID="{A14F7DFE-1F83-4B32-9B04-44DEF16F7C0B}">
  <ds:schemaRefs>
    <ds:schemaRef ds:uri="http://schemas.microsoft.com/sharepoint/v3/contenttype/forms"/>
  </ds:schemaRefs>
</ds:datastoreItem>
</file>

<file path=customXml/itemProps3.xml><?xml version="1.0" encoding="utf-8"?>
<ds:datastoreItem xmlns:ds="http://schemas.openxmlformats.org/officeDocument/2006/customXml" ds:itemID="{521464F5-6617-4719-A3A3-00672D6DFD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Keating</dc:creator>
  <cp:lastModifiedBy>Schwartz, Kasie</cp:lastModifiedBy>
  <cp:revision>4</cp:revision>
  <cp:lastPrinted>2023-08-21T14:50:00Z</cp:lastPrinted>
  <dcterms:created xsi:type="dcterms:W3CDTF">2025-03-29T16:39:00Z</dcterms:created>
  <dcterms:modified xsi:type="dcterms:W3CDTF">2025-04-03T14:23:25Z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2021-12-20T00:00:00Z</vt:filetime>
  </property>
  <property fmtid="{D5CDD505-2E9C-101B-9397-08002B2CF9AE}" pid="3" name="Creator">
    <vt:lpwstr>Microsoft Word</vt:lpwstr>
  </property>
  <property fmtid="{D5CDD505-2E9C-101B-9397-08002B2CF9AE}" pid="4" name="LastSaved">
    <vt:filetime>2023-07-07T00:00:00Z</vt:filetime>
  </property>
  <property fmtid="{D5CDD505-2E9C-101B-9397-08002B2CF9AE}" pid="5" name="MSIP_Label_d9088468-0951-4aef-9cc3-0a346e475ddc_Enabled">
    <vt:lpwstr>true</vt:lpwstr>
  </property>
  <property fmtid="{D5CDD505-2E9C-101B-9397-08002B2CF9AE}" pid="6" name="MSIP_Label_d9088468-0951-4aef-9cc3-0a346e475ddc_SetDate">
    <vt:lpwstr>2025-03-28T16:05:07Z</vt:lpwstr>
  </property>
  <property fmtid="{D5CDD505-2E9C-101B-9397-08002B2CF9AE}" pid="7" name="MSIP_Label_d9088468-0951-4aef-9cc3-0a346e475ddc_Method">
    <vt:lpwstr>Privileged</vt:lpwstr>
  </property>
  <property fmtid="{D5CDD505-2E9C-101B-9397-08002B2CF9AE}" pid="8" name="MSIP_Label_d9088468-0951-4aef-9cc3-0a346e475ddc_Name">
    <vt:lpwstr>Public</vt:lpwstr>
  </property>
  <property fmtid="{D5CDD505-2E9C-101B-9397-08002B2CF9AE}" pid="9" name="MSIP_Label_d9088468-0951-4aef-9cc3-0a346e475ddc_SiteId">
    <vt:lpwstr>aca3c8d6-aa71-4e1a-a10e-03572fc58c0b</vt:lpwstr>
  </property>
  <property fmtid="{D5CDD505-2E9C-101B-9397-08002B2CF9AE}" pid="10" name="MSIP_Label_d9088468-0951-4aef-9cc3-0a346e475ddc_ActionId">
    <vt:lpwstr>b50f64f0-6c0a-414b-847c-93024906c48a</vt:lpwstr>
  </property>
  <property fmtid="{D5CDD505-2E9C-101B-9397-08002B2CF9AE}" pid="11" name="MSIP_Label_d9088468-0951-4aef-9cc3-0a346e475ddc_ContentBits">
    <vt:lpwstr>0</vt:lpwstr>
  </property>
  <property fmtid="{D5CDD505-2E9C-101B-9397-08002B2CF9AE}" pid="12" name="MSIP_Label_d9088468-0951-4aef-9cc3-0a346e475ddc_Tag">
    <vt:lpwstr>10, 0, 1, 1</vt:lpwstr>
  </property>
  <property fmtid="{D5CDD505-2E9C-101B-9397-08002B2CF9AE}" pid="13" name="ContentTypeId">
    <vt:lpwstr>0x010100E4FD4569B5B44A4EAC9C5B9C969C5B5A</vt:lpwstr>
  </property>
  <property fmtid="{D5CDD505-2E9C-101B-9397-08002B2CF9AE}" pid="14" name="Order">
    <vt:r8>161900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SIP_Label_3c9bec58-8084-492e-8360-0e1cfe36408c_Enabled">
    <vt:lpwstr>true</vt:lpwstr>
  </property>
  <property fmtid="{D5CDD505-2E9C-101B-9397-08002B2CF9AE}" pid="24" name="MSIP_Label_3c9bec58-8084-492e-8360-0e1cfe36408c_SetDate">
    <vt:lpwstr>2025-03-29T16:39:21Z</vt:lpwstr>
  </property>
  <property fmtid="{D5CDD505-2E9C-101B-9397-08002B2CF9AE}" pid="25" name="MSIP_Label_3c9bec58-8084-492e-8360-0e1cfe36408c_Method">
    <vt:lpwstr>Standard</vt:lpwstr>
  </property>
  <property fmtid="{D5CDD505-2E9C-101B-9397-08002B2CF9AE}" pid="26" name="MSIP_Label_3c9bec58-8084-492e-8360-0e1cfe36408c_Name">
    <vt:lpwstr>Not Protected -Pilot</vt:lpwstr>
  </property>
  <property fmtid="{D5CDD505-2E9C-101B-9397-08002B2CF9AE}" pid="27" name="MSIP_Label_3c9bec58-8084-492e-8360-0e1cfe36408c_SiteId">
    <vt:lpwstr>f35a6974-607f-47d4-82d7-ff31d7dc53a5</vt:lpwstr>
  </property>
  <property fmtid="{D5CDD505-2E9C-101B-9397-08002B2CF9AE}" pid="28" name="MSIP_Label_3c9bec58-8084-492e-8360-0e1cfe36408c_ActionId">
    <vt:lpwstr>7880f89f-3976-437b-b90c-f6ec46bbf71e</vt:lpwstr>
  </property>
  <property fmtid="{D5CDD505-2E9C-101B-9397-08002B2CF9AE}" pid="29" name="MSIP_Label_3c9bec58-8084-492e-8360-0e1cfe36408c_ContentBits">
    <vt:lpwstr>0</vt:lpwstr>
  </property>
  <property fmtid="{D5CDD505-2E9C-101B-9397-08002B2CF9AE}" pid="30" name="MSIP_Label_3c9bec58-8084-492e-8360-0e1cfe36408c_Tag">
    <vt:lpwstr>10, 3, 0, 2</vt:lpwstr>
  </property>
</Properties>
</file>